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ED8D" w14:textId="77777777" w:rsidR="0048012E" w:rsidRPr="009C46FD" w:rsidRDefault="00A63D3C" w:rsidP="0048012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hu"/>
        </w:rPr>
        <w:t xml:space="preserve">2017. április </w:t>
      </w:r>
      <w:r w:rsidR="00230DCE">
        <w:rPr>
          <w:rFonts w:ascii="Arial" w:hAnsi="Arial" w:cs="Arial"/>
          <w:lang w:val="hu"/>
        </w:rPr>
        <w:t>28</w:t>
      </w:r>
      <w:r>
        <w:rPr>
          <w:rFonts w:ascii="Arial" w:hAnsi="Arial" w:cs="Arial"/>
          <w:lang w:val="hu"/>
        </w:rPr>
        <w:t>.</w:t>
      </w:r>
    </w:p>
    <w:p w14:paraId="4544E6A8" w14:textId="77777777" w:rsidR="00921B5B" w:rsidRPr="009C46FD" w:rsidRDefault="0048012E" w:rsidP="008243A2">
      <w:pPr>
        <w:spacing w:line="276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hu"/>
        </w:rPr>
        <w:t>Sajtóközlemény</w:t>
      </w:r>
    </w:p>
    <w:p w14:paraId="7F5189DA" w14:textId="77777777" w:rsidR="00A30805" w:rsidRDefault="00A30805" w:rsidP="004C36D4">
      <w:pPr>
        <w:spacing w:after="240"/>
        <w:jc w:val="center"/>
        <w:rPr>
          <w:rFonts w:ascii="Arial" w:hAnsi="Arial" w:cs="Arial"/>
          <w:color w:val="FF0000"/>
          <w:u w:val="single"/>
        </w:rPr>
      </w:pPr>
    </w:p>
    <w:p w14:paraId="762273B1" w14:textId="77777777" w:rsidR="004C36D4" w:rsidRPr="009C46FD" w:rsidRDefault="004C36D4" w:rsidP="004C36D4">
      <w:pPr>
        <w:spacing w:after="240"/>
        <w:jc w:val="center"/>
        <w:rPr>
          <w:rFonts w:ascii="Myriad Pro" w:hAnsi="Myriad Pro"/>
          <w:b/>
          <w:color w:val="000000"/>
          <w:sz w:val="28"/>
        </w:rPr>
      </w:pPr>
      <w:r>
        <w:rPr>
          <w:rFonts w:ascii="Myriad Pro" w:hAnsi="Myriad Pro"/>
          <w:b/>
          <w:bCs/>
          <w:color w:val="000000"/>
          <w:sz w:val="28"/>
          <w:lang w:val="hu"/>
        </w:rPr>
        <w:t>Stabil 2016-os teljesítményről számol</w:t>
      </w:r>
      <w:r w:rsidR="00D101E4">
        <w:rPr>
          <w:rFonts w:ascii="Myriad Pro" w:hAnsi="Myriad Pro"/>
          <w:b/>
          <w:bCs/>
          <w:color w:val="000000"/>
          <w:sz w:val="28"/>
          <w:lang w:val="hu"/>
        </w:rPr>
        <w:t>t</w:t>
      </w:r>
      <w:r>
        <w:rPr>
          <w:rFonts w:ascii="Myriad Pro" w:hAnsi="Myriad Pro"/>
          <w:b/>
          <w:bCs/>
          <w:color w:val="000000"/>
          <w:sz w:val="28"/>
          <w:lang w:val="hu"/>
        </w:rPr>
        <w:t xml:space="preserve"> be a HB Reavis</w:t>
      </w:r>
    </w:p>
    <w:p w14:paraId="22BD451D" w14:textId="77777777" w:rsidR="00FE13C4" w:rsidRDefault="00E348CB" w:rsidP="00C60A8C">
      <w:pPr>
        <w:spacing w:after="240" w:line="276" w:lineRule="auto"/>
        <w:jc w:val="both"/>
        <w:rPr>
          <w:rFonts w:ascii="Myriad Pro" w:hAnsi="Myriad Pro"/>
          <w:b/>
          <w:bCs/>
          <w:lang w:val="hu"/>
        </w:rPr>
      </w:pPr>
      <w:r w:rsidRPr="00671A76">
        <w:rPr>
          <w:rFonts w:ascii="Myriad Pro" w:hAnsi="Myriad Pro"/>
          <w:b/>
          <w:bCs/>
          <w:lang w:val="hu"/>
        </w:rPr>
        <w:t xml:space="preserve">A HB Reavis </w:t>
      </w:r>
      <w:r w:rsidR="00CE7EDB" w:rsidRPr="00671A76">
        <w:rPr>
          <w:rFonts w:ascii="Myriad Pro" w:hAnsi="Myriad Pro"/>
          <w:b/>
          <w:bCs/>
          <w:lang w:val="hu"/>
        </w:rPr>
        <w:t>c</w:t>
      </w:r>
      <w:r w:rsidRPr="00671A76">
        <w:rPr>
          <w:rFonts w:ascii="Myriad Pro" w:hAnsi="Myriad Pro"/>
          <w:b/>
          <w:bCs/>
          <w:lang w:val="hu"/>
        </w:rPr>
        <w:t xml:space="preserve">soport stabil, </w:t>
      </w:r>
      <w:r w:rsidRPr="00DF3B15">
        <w:rPr>
          <w:rFonts w:ascii="Myriad Pro" w:hAnsi="Myriad Pro"/>
          <w:b/>
          <w:bCs/>
          <w:lang w:val="hu"/>
        </w:rPr>
        <w:t>107,</w:t>
      </w:r>
      <w:r w:rsidR="001E7967" w:rsidRPr="00DF3B15">
        <w:rPr>
          <w:rFonts w:ascii="Myriad Pro" w:hAnsi="Myriad Pro"/>
          <w:b/>
          <w:bCs/>
          <w:lang w:val="hu"/>
        </w:rPr>
        <w:t>5</w:t>
      </w:r>
      <w:r w:rsidRPr="00DF3B15">
        <w:rPr>
          <w:rFonts w:ascii="Myriad Pro" w:hAnsi="Myriad Pro"/>
          <w:b/>
          <w:bCs/>
          <w:lang w:val="hu"/>
        </w:rPr>
        <w:t xml:space="preserve"> millió eurós</w:t>
      </w:r>
      <w:r w:rsidRPr="00671A76">
        <w:rPr>
          <w:rFonts w:ascii="Myriad Pro" w:hAnsi="Myriad Pro"/>
          <w:b/>
          <w:bCs/>
          <w:lang w:val="hu"/>
        </w:rPr>
        <w:t xml:space="preserve"> konszolidált nettó </w:t>
      </w:r>
      <w:r w:rsidR="00295DED" w:rsidRPr="00671A76">
        <w:rPr>
          <w:rFonts w:ascii="Myriad Pro" w:hAnsi="Myriad Pro"/>
          <w:b/>
          <w:bCs/>
          <w:lang w:val="hu"/>
        </w:rPr>
        <w:t>nyereséget</w:t>
      </w:r>
      <w:r w:rsidR="00D101E4" w:rsidRPr="00671A76">
        <w:rPr>
          <w:rFonts w:ascii="Myriad Pro" w:hAnsi="Myriad Pro"/>
          <w:b/>
          <w:bCs/>
          <w:lang w:val="hu"/>
        </w:rPr>
        <w:t xml:space="preserve"> ért el </w:t>
      </w:r>
      <w:r w:rsidRPr="00671A76">
        <w:rPr>
          <w:rFonts w:ascii="Myriad Pro" w:hAnsi="Myriad Pro"/>
          <w:b/>
          <w:bCs/>
          <w:lang w:val="hu"/>
        </w:rPr>
        <w:t>201</w:t>
      </w:r>
      <w:r w:rsidR="00D101E4" w:rsidRPr="00671A76">
        <w:rPr>
          <w:rFonts w:ascii="Myriad Pro" w:hAnsi="Myriad Pro"/>
          <w:b/>
          <w:bCs/>
          <w:lang w:val="hu"/>
        </w:rPr>
        <w:t>6-ban</w:t>
      </w:r>
      <w:r w:rsidR="00CE7EDB" w:rsidRPr="00671A76">
        <w:rPr>
          <w:rFonts w:ascii="Myriad Pro" w:hAnsi="Myriad Pro"/>
          <w:b/>
          <w:bCs/>
          <w:lang w:val="hu"/>
        </w:rPr>
        <w:t>, a</w:t>
      </w:r>
      <w:r w:rsidR="00CE7EDB">
        <w:rPr>
          <w:rFonts w:ascii="Myriad Pro" w:hAnsi="Myriad Pro"/>
          <w:b/>
          <w:bCs/>
          <w:lang w:val="hu"/>
        </w:rPr>
        <w:t xml:space="preserve"> vállalat legfrissebb </w:t>
      </w:r>
      <w:r w:rsidR="00935BFC">
        <w:rPr>
          <w:rFonts w:ascii="Myriad Pro" w:hAnsi="Myriad Pro"/>
          <w:b/>
          <w:bCs/>
          <w:lang w:val="hu"/>
        </w:rPr>
        <w:t xml:space="preserve">éves </w:t>
      </w:r>
      <w:r w:rsidR="00CE7EDB">
        <w:rPr>
          <w:rFonts w:ascii="Myriad Pro" w:hAnsi="Myriad Pro"/>
          <w:b/>
          <w:bCs/>
          <w:lang w:val="hu"/>
        </w:rPr>
        <w:t xml:space="preserve">pénzügyi jelentése szerint. </w:t>
      </w:r>
      <w:r>
        <w:rPr>
          <w:rFonts w:ascii="Myriad Pro" w:hAnsi="Myriad Pro"/>
          <w:b/>
          <w:bCs/>
          <w:lang w:val="hu"/>
        </w:rPr>
        <w:t>A kihívást jelentő európai politikai környezet ellenére – amelyre leg</w:t>
      </w:r>
      <w:r w:rsidR="003D7462">
        <w:rPr>
          <w:rFonts w:ascii="Myriad Pro" w:hAnsi="Myriad Pro"/>
          <w:b/>
          <w:bCs/>
          <w:lang w:val="hu"/>
        </w:rPr>
        <w:t>inkább</w:t>
      </w:r>
      <w:r>
        <w:rPr>
          <w:rFonts w:ascii="Myriad Pro" w:hAnsi="Myriad Pro"/>
          <w:b/>
          <w:bCs/>
          <w:lang w:val="hu"/>
        </w:rPr>
        <w:t xml:space="preserve"> az Egyesült Királyság EU-ból való kilépés</w:t>
      </w:r>
      <w:r w:rsidR="003D7462">
        <w:rPr>
          <w:rFonts w:ascii="Myriad Pro" w:hAnsi="Myriad Pro"/>
          <w:b/>
          <w:bCs/>
          <w:lang w:val="hu"/>
        </w:rPr>
        <w:t>é</w:t>
      </w:r>
      <w:r>
        <w:rPr>
          <w:rFonts w:ascii="Myriad Pro" w:hAnsi="Myriad Pro"/>
          <w:b/>
          <w:bCs/>
          <w:lang w:val="hu"/>
        </w:rPr>
        <w:t>ről tartott népszavazás volt hatással – a csoport rekordszámú projektet valósított meg</w:t>
      </w:r>
      <w:r w:rsidR="001670ED">
        <w:rPr>
          <w:rFonts w:ascii="Myriad Pro" w:hAnsi="Myriad Pro"/>
          <w:b/>
          <w:bCs/>
          <w:lang w:val="hu"/>
        </w:rPr>
        <w:t>. A</w:t>
      </w:r>
      <w:r>
        <w:rPr>
          <w:rFonts w:ascii="Myriad Pro" w:hAnsi="Myriad Pro"/>
          <w:b/>
          <w:bCs/>
          <w:lang w:val="hu"/>
        </w:rPr>
        <w:t xml:space="preserve"> bérbeadás terén megtartotta korábbi jó teljesítményét, </w:t>
      </w:r>
      <w:r w:rsidR="00671A76">
        <w:rPr>
          <w:rFonts w:ascii="Myriad Pro" w:hAnsi="Myriad Pro"/>
          <w:b/>
          <w:bCs/>
          <w:lang w:val="hu"/>
        </w:rPr>
        <w:t xml:space="preserve">emellett a </w:t>
      </w:r>
      <w:r w:rsidR="00CE7EDB">
        <w:rPr>
          <w:rFonts w:ascii="Myriad Pro" w:hAnsi="Myriad Pro"/>
          <w:b/>
          <w:bCs/>
          <w:lang w:val="hu"/>
        </w:rPr>
        <w:t xml:space="preserve">jövőbeli </w:t>
      </w:r>
      <w:r>
        <w:rPr>
          <w:rFonts w:ascii="Myriad Pro" w:hAnsi="Myriad Pro"/>
          <w:b/>
          <w:bCs/>
          <w:lang w:val="hu"/>
        </w:rPr>
        <w:t>fejlesztés</w:t>
      </w:r>
      <w:r w:rsidR="00CE7EDB">
        <w:rPr>
          <w:rFonts w:ascii="Myriad Pro" w:hAnsi="Myriad Pro"/>
          <w:b/>
          <w:bCs/>
          <w:lang w:val="hu"/>
        </w:rPr>
        <w:t>ek</w:t>
      </w:r>
      <w:r>
        <w:rPr>
          <w:rFonts w:ascii="Myriad Pro" w:hAnsi="Myriad Pro"/>
          <w:b/>
          <w:bCs/>
          <w:lang w:val="hu"/>
        </w:rPr>
        <w:t xml:space="preserve"> </w:t>
      </w:r>
      <w:r w:rsidR="00CE7EDB">
        <w:rPr>
          <w:rFonts w:ascii="Myriad Pro" w:hAnsi="Myriad Pro"/>
          <w:b/>
          <w:bCs/>
          <w:lang w:val="hu"/>
        </w:rPr>
        <w:t xml:space="preserve">terén is előrelépett. </w:t>
      </w:r>
    </w:p>
    <w:p w14:paraId="52112E18" w14:textId="77777777" w:rsidR="00CE7EDB" w:rsidRPr="009C46FD" w:rsidRDefault="00CE7EDB" w:rsidP="00C60A8C">
      <w:pPr>
        <w:spacing w:after="240" w:line="276" w:lineRule="auto"/>
        <w:jc w:val="both"/>
        <w:rPr>
          <w:rFonts w:ascii="Myriad Pro" w:hAnsi="Myriad Pro"/>
          <w:b/>
        </w:rPr>
      </w:pPr>
      <w:bookmarkStart w:id="0" w:name="_GoBack"/>
      <w:bookmarkEnd w:id="0"/>
    </w:p>
    <w:p w14:paraId="78223046" w14:textId="77777777" w:rsidR="00E94ABD" w:rsidRPr="009C46FD" w:rsidRDefault="00295DED" w:rsidP="008243A2">
      <w:pPr>
        <w:spacing w:after="120" w:line="276" w:lineRule="auto"/>
        <w:contextualSpacing/>
        <w:rPr>
          <w:rFonts w:ascii="Myriad Pro" w:hAnsi="Myriad Pro"/>
          <w:u w:val="single"/>
        </w:rPr>
      </w:pPr>
      <w:r>
        <w:rPr>
          <w:rFonts w:ascii="Myriad Pro" w:hAnsi="Myriad Pro"/>
          <w:u w:val="single"/>
          <w:lang w:val="hu"/>
        </w:rPr>
        <w:t>Főbb</w:t>
      </w:r>
      <w:r w:rsidR="00E94ABD">
        <w:rPr>
          <w:rFonts w:ascii="Myriad Pro" w:hAnsi="Myriad Pro"/>
          <w:u w:val="single"/>
          <w:lang w:val="hu"/>
        </w:rPr>
        <w:t xml:space="preserve"> pénzügyi </w:t>
      </w:r>
      <w:r>
        <w:rPr>
          <w:rFonts w:ascii="Myriad Pro" w:hAnsi="Myriad Pro"/>
          <w:u w:val="single"/>
          <w:lang w:val="hu"/>
        </w:rPr>
        <w:t>eredmények</w:t>
      </w:r>
      <w:r w:rsidR="00E94ABD">
        <w:rPr>
          <w:rFonts w:ascii="Myriad Pro" w:hAnsi="Myriad Pro"/>
          <w:u w:val="single"/>
          <w:lang w:val="hu"/>
        </w:rPr>
        <w:t>:</w:t>
      </w:r>
    </w:p>
    <w:p w14:paraId="52A2DA4D" w14:textId="77777777" w:rsidR="00F536B1" w:rsidRPr="009C46FD" w:rsidRDefault="00203748" w:rsidP="00347135">
      <w:pPr>
        <w:pStyle w:val="Listaszerbekezds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 w:rsidRPr="00DF3B15">
        <w:rPr>
          <w:rFonts w:ascii="Myriad Pro" w:hAnsi="Myriad Pro"/>
          <w:sz w:val="24"/>
          <w:szCs w:val="24"/>
          <w:lang w:val="hu"/>
        </w:rPr>
        <w:t>107,5 millió</w:t>
      </w:r>
      <w:r w:rsidRPr="00935BFC">
        <w:rPr>
          <w:rFonts w:ascii="Myriad Pro" w:hAnsi="Myriad Pro"/>
          <w:sz w:val="24"/>
          <w:szCs w:val="24"/>
          <w:lang w:val="hu"/>
        </w:rPr>
        <w:t xml:space="preserve"> euró</w:t>
      </w:r>
      <w:r>
        <w:rPr>
          <w:rFonts w:ascii="Myriad Pro" w:hAnsi="Myriad Pro"/>
          <w:sz w:val="24"/>
          <w:szCs w:val="24"/>
          <w:lang w:val="hu"/>
        </w:rPr>
        <w:t xml:space="preserve"> nettó nyereség, szemben a 2015-ös 239,4 millió euróval</w:t>
      </w:r>
      <w:r w:rsidR="0030275B">
        <w:rPr>
          <w:rFonts w:ascii="Myriad Pro" w:hAnsi="Myriad Pro"/>
          <w:sz w:val="24"/>
          <w:szCs w:val="24"/>
          <w:lang w:val="hu"/>
        </w:rPr>
        <w:t>.</w:t>
      </w:r>
    </w:p>
    <w:p w14:paraId="4C9D92F7" w14:textId="77777777" w:rsidR="00F34280" w:rsidRPr="009C46FD" w:rsidRDefault="00203748" w:rsidP="00347135">
      <w:pPr>
        <w:pStyle w:val="Listaszerbekezds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  <w:lang w:val="hu"/>
        </w:rPr>
        <w:t>235,3 millió euró üzemi nyereség a 2015-ös 302,5 millió euró</w:t>
      </w:r>
      <w:r w:rsidR="00295DED">
        <w:rPr>
          <w:rFonts w:ascii="Myriad Pro" w:hAnsi="Myriad Pro"/>
          <w:sz w:val="24"/>
          <w:szCs w:val="24"/>
          <w:lang w:val="hu"/>
        </w:rPr>
        <w:t>hoz képest</w:t>
      </w:r>
      <w:r w:rsidR="0030275B">
        <w:rPr>
          <w:rFonts w:ascii="Myriad Pro" w:hAnsi="Myriad Pro"/>
          <w:sz w:val="24"/>
          <w:szCs w:val="24"/>
          <w:lang w:val="hu"/>
        </w:rPr>
        <w:t>.</w:t>
      </w:r>
    </w:p>
    <w:p w14:paraId="541BE326" w14:textId="77777777" w:rsidR="00230DCE" w:rsidRPr="00DF3B15" w:rsidRDefault="004C4A39">
      <w:pPr>
        <w:pStyle w:val="Listaszerbekezds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color w:val="FF0000"/>
          <w:sz w:val="24"/>
          <w:szCs w:val="24"/>
          <w:lang w:val="en-GB"/>
        </w:rPr>
      </w:pPr>
      <w:r w:rsidRPr="00DF3B15">
        <w:rPr>
          <w:rFonts w:ascii="Myriad Pro" w:hAnsi="Myriad Pro"/>
          <w:sz w:val="24"/>
          <w:szCs w:val="24"/>
          <w:lang w:val="hu"/>
        </w:rPr>
        <w:t>A devizaárfolyam-ingadozások – elsősorban a</w:t>
      </w:r>
      <w:r w:rsidR="00295DED" w:rsidRPr="00DF3B15">
        <w:rPr>
          <w:rFonts w:ascii="Myriad Pro" w:hAnsi="Myriad Pro"/>
          <w:sz w:val="24"/>
          <w:szCs w:val="24"/>
          <w:lang w:val="hu"/>
        </w:rPr>
        <w:t>z angol font</w:t>
      </w:r>
      <w:r w:rsidRPr="00DF3B15">
        <w:rPr>
          <w:rFonts w:ascii="Myriad Pro" w:hAnsi="Myriad Pro"/>
          <w:sz w:val="24"/>
          <w:szCs w:val="24"/>
          <w:lang w:val="hu"/>
        </w:rPr>
        <w:t xml:space="preserve"> és kisebb mértékben a</w:t>
      </w:r>
      <w:r w:rsidR="00295DED" w:rsidRPr="00DF3B15">
        <w:rPr>
          <w:rFonts w:ascii="Myriad Pro" w:hAnsi="Myriad Pro"/>
          <w:sz w:val="24"/>
          <w:szCs w:val="24"/>
          <w:lang w:val="hu"/>
        </w:rPr>
        <w:t xml:space="preserve"> lengyel złoty</w:t>
      </w:r>
      <w:r w:rsidRPr="00DF3B15">
        <w:rPr>
          <w:rFonts w:ascii="Myriad Pro" w:hAnsi="Myriad Pro"/>
          <w:sz w:val="24"/>
          <w:szCs w:val="24"/>
          <w:lang w:val="hu"/>
        </w:rPr>
        <w:t xml:space="preserve"> leértékelődése – 95,4 millió euró veszteség</w:t>
      </w:r>
      <w:r w:rsidR="00230DCE" w:rsidRPr="00DF3B15">
        <w:rPr>
          <w:rFonts w:ascii="Myriad Pro" w:hAnsi="Myriad Pro"/>
          <w:sz w:val="24"/>
          <w:szCs w:val="24"/>
          <w:lang w:val="hu"/>
        </w:rPr>
        <w:t xml:space="preserve">et jelentettek </w:t>
      </w:r>
      <w:r w:rsidRPr="00DF3B15">
        <w:rPr>
          <w:rFonts w:ascii="Myriad Pro" w:hAnsi="Myriad Pro"/>
          <w:sz w:val="24"/>
          <w:szCs w:val="24"/>
          <w:lang w:val="hu"/>
        </w:rPr>
        <w:t>a nettó nyereség</w:t>
      </w:r>
      <w:r w:rsidR="00230DCE" w:rsidRPr="00DF3B15">
        <w:rPr>
          <w:rFonts w:ascii="Myriad Pro" w:hAnsi="Myriad Pro"/>
          <w:sz w:val="24"/>
          <w:szCs w:val="24"/>
          <w:lang w:val="hu"/>
        </w:rPr>
        <w:t>ben</w:t>
      </w:r>
      <w:r w:rsidRPr="00DF3B15">
        <w:rPr>
          <w:rFonts w:ascii="Myriad Pro" w:hAnsi="Myriad Pro"/>
          <w:sz w:val="24"/>
          <w:szCs w:val="24"/>
          <w:lang w:val="hu"/>
        </w:rPr>
        <w:t xml:space="preserve">, amelyből </w:t>
      </w:r>
      <w:r w:rsidR="00CE7EDB" w:rsidRPr="00DF3B15">
        <w:rPr>
          <w:rFonts w:ascii="Myriad Pro" w:hAnsi="Myriad Pro"/>
          <w:sz w:val="24"/>
          <w:szCs w:val="24"/>
          <w:lang w:val="hu"/>
        </w:rPr>
        <w:t>kevesebb</w:t>
      </w:r>
      <w:r w:rsidR="00230DCE" w:rsidRPr="00DF3B15">
        <w:rPr>
          <w:rFonts w:ascii="Myriad Pro" w:hAnsi="Myriad Pro"/>
          <w:sz w:val="24"/>
          <w:szCs w:val="24"/>
          <w:lang w:val="hu"/>
        </w:rPr>
        <w:t>,</w:t>
      </w:r>
      <w:r w:rsidR="00CE7EDB" w:rsidRPr="00DF3B15">
        <w:rPr>
          <w:rFonts w:ascii="Myriad Pro" w:hAnsi="Myriad Pro"/>
          <w:sz w:val="24"/>
          <w:szCs w:val="24"/>
          <w:lang w:val="hu"/>
        </w:rPr>
        <w:t xml:space="preserve"> mint </w:t>
      </w:r>
      <w:r w:rsidRPr="00DF3B15">
        <w:rPr>
          <w:rFonts w:ascii="Myriad Pro" w:hAnsi="Myriad Pro"/>
          <w:sz w:val="24"/>
          <w:szCs w:val="24"/>
          <w:lang w:val="hu"/>
        </w:rPr>
        <w:t>1</w:t>
      </w:r>
      <w:r w:rsidR="005571E4" w:rsidRPr="00DF3B15">
        <w:rPr>
          <w:rFonts w:ascii="Myriad Pro" w:hAnsi="Myriad Pro"/>
          <w:sz w:val="24"/>
          <w:szCs w:val="24"/>
          <w:lang w:val="hu"/>
        </w:rPr>
        <w:t>0</w:t>
      </w:r>
      <w:r w:rsidRPr="00DF3B15">
        <w:rPr>
          <w:rFonts w:ascii="Myriad Pro" w:hAnsi="Myriad Pro"/>
          <w:sz w:val="24"/>
          <w:szCs w:val="24"/>
          <w:lang w:val="hu"/>
        </w:rPr>
        <w:t xml:space="preserve"> millió euró veszteséget realizált ténylegesen a csoport</w:t>
      </w:r>
      <w:r w:rsidR="0030275B" w:rsidRPr="00DF3B15">
        <w:rPr>
          <w:rFonts w:ascii="Myriad Pro" w:hAnsi="Myriad Pro"/>
          <w:sz w:val="24"/>
          <w:szCs w:val="24"/>
          <w:lang w:val="hu"/>
        </w:rPr>
        <w:t>.</w:t>
      </w:r>
    </w:p>
    <w:p w14:paraId="4CE60557" w14:textId="77777777" w:rsidR="000B4B33" w:rsidRPr="00DF3B15" w:rsidRDefault="0030275B" w:rsidP="008D3C9A">
      <w:pPr>
        <w:pStyle w:val="Listaszerbekezds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 w:rsidRPr="00935BFC">
        <w:rPr>
          <w:rFonts w:ascii="Myriad Pro" w:hAnsi="Myriad Pro"/>
          <w:sz w:val="24"/>
          <w:szCs w:val="24"/>
          <w:lang w:val="hu"/>
        </w:rPr>
        <w:t>A saját tőke megtérülése s</w:t>
      </w:r>
      <w:r w:rsidR="00203748" w:rsidRPr="00935BFC">
        <w:rPr>
          <w:rFonts w:ascii="Myriad Pro" w:hAnsi="Myriad Pro"/>
          <w:sz w:val="24"/>
          <w:szCs w:val="24"/>
          <w:lang w:val="hu"/>
        </w:rPr>
        <w:t>zerény, 6,9%-os, szemben a 2015-ös 29,3%-kal</w:t>
      </w:r>
      <w:r w:rsidRPr="00935BFC">
        <w:rPr>
          <w:rFonts w:ascii="Myriad Pro" w:hAnsi="Myriad Pro"/>
          <w:sz w:val="24"/>
          <w:szCs w:val="24"/>
          <w:lang w:val="hu"/>
        </w:rPr>
        <w:t>.</w:t>
      </w:r>
      <w:r w:rsidR="00E7182D" w:rsidRPr="00935BFC">
        <w:rPr>
          <w:rFonts w:ascii="Myriad Pro" w:hAnsi="Myriad Pro"/>
          <w:sz w:val="24"/>
          <w:szCs w:val="24"/>
          <w:lang w:val="hu"/>
        </w:rPr>
        <w:t xml:space="preserve"> </w:t>
      </w:r>
    </w:p>
    <w:p w14:paraId="2F67C0F5" w14:textId="77777777" w:rsidR="00FC5400" w:rsidRPr="00DF3B15" w:rsidRDefault="00120BE3" w:rsidP="00671A76">
      <w:pPr>
        <w:pStyle w:val="Listaszerbekezds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hu"/>
        </w:rPr>
      </w:pPr>
      <w:r>
        <w:rPr>
          <w:rFonts w:ascii="Myriad Pro" w:hAnsi="Myriad Pro"/>
          <w:sz w:val="24"/>
          <w:szCs w:val="24"/>
          <w:lang w:val="hu"/>
        </w:rPr>
        <w:t xml:space="preserve">A csoport </w:t>
      </w:r>
      <w:r w:rsidR="00203748">
        <w:rPr>
          <w:rFonts w:ascii="Myriad Pro" w:hAnsi="Myriad Pro"/>
          <w:sz w:val="24"/>
          <w:szCs w:val="24"/>
          <w:lang w:val="hu"/>
        </w:rPr>
        <w:t xml:space="preserve">2,1 milliárd eurós </w:t>
      </w:r>
      <w:r w:rsidR="0030275B">
        <w:rPr>
          <w:rFonts w:ascii="Myriad Pro" w:hAnsi="Myriad Pro"/>
          <w:sz w:val="24"/>
          <w:szCs w:val="24"/>
          <w:lang w:val="hu"/>
        </w:rPr>
        <w:t>mérlegfőösszeg</w:t>
      </w:r>
      <w:r>
        <w:rPr>
          <w:rFonts w:ascii="Myriad Pro" w:hAnsi="Myriad Pro"/>
          <w:sz w:val="24"/>
          <w:szCs w:val="24"/>
          <w:lang w:val="hu"/>
        </w:rPr>
        <w:t>gel zárt</w:t>
      </w:r>
      <w:r w:rsidR="0030275B">
        <w:rPr>
          <w:rFonts w:ascii="Myriad Pro" w:hAnsi="Myriad Pro"/>
          <w:sz w:val="24"/>
          <w:szCs w:val="24"/>
          <w:lang w:val="hu"/>
        </w:rPr>
        <w:t xml:space="preserve">, </w:t>
      </w:r>
      <w:r w:rsidR="00203748">
        <w:rPr>
          <w:rFonts w:ascii="Myriad Pro" w:hAnsi="Myriad Pro"/>
          <w:sz w:val="24"/>
          <w:szCs w:val="24"/>
          <w:lang w:val="hu"/>
        </w:rPr>
        <w:t xml:space="preserve">nettó </w:t>
      </w:r>
      <w:r w:rsidR="00966710">
        <w:rPr>
          <w:rFonts w:ascii="Myriad Pro" w:hAnsi="Myriad Pro"/>
          <w:sz w:val="24"/>
          <w:szCs w:val="24"/>
          <w:lang w:val="hu"/>
        </w:rPr>
        <w:t>eszköz</w:t>
      </w:r>
      <w:r w:rsidR="00203748">
        <w:rPr>
          <w:rFonts w:ascii="Myriad Pro" w:hAnsi="Myriad Pro"/>
          <w:sz w:val="24"/>
          <w:szCs w:val="24"/>
          <w:lang w:val="hu"/>
        </w:rPr>
        <w:t xml:space="preserve">értéke </w:t>
      </w:r>
      <w:r w:rsidR="0030275B">
        <w:rPr>
          <w:rFonts w:ascii="Myriad Pro" w:hAnsi="Myriad Pro"/>
          <w:sz w:val="24"/>
          <w:szCs w:val="24"/>
          <w:lang w:val="hu"/>
        </w:rPr>
        <w:t xml:space="preserve">pedig megközelítette az </w:t>
      </w:r>
      <w:r w:rsidR="00203748">
        <w:rPr>
          <w:rFonts w:ascii="Myriad Pro" w:hAnsi="Myriad Pro"/>
          <w:sz w:val="24"/>
          <w:szCs w:val="24"/>
          <w:lang w:val="hu"/>
        </w:rPr>
        <w:t>1,2 milliárd eurót</w:t>
      </w:r>
      <w:r w:rsidR="0030275B">
        <w:rPr>
          <w:rFonts w:ascii="Myriad Pro" w:hAnsi="Myriad Pro"/>
          <w:sz w:val="24"/>
          <w:szCs w:val="24"/>
          <w:lang w:val="hu"/>
        </w:rPr>
        <w:t>.</w:t>
      </w:r>
      <w:r w:rsidR="00E7182D">
        <w:rPr>
          <w:rFonts w:ascii="Myriad Pro" w:hAnsi="Myriad Pro"/>
          <w:sz w:val="24"/>
          <w:szCs w:val="24"/>
          <w:lang w:val="hu"/>
        </w:rPr>
        <w:t xml:space="preserve"> </w:t>
      </w:r>
    </w:p>
    <w:p w14:paraId="3A62557D" w14:textId="77777777" w:rsidR="00935BFC" w:rsidRPr="00DF3B15" w:rsidRDefault="00120BE3" w:rsidP="00935BFC">
      <w:pPr>
        <w:pStyle w:val="Listaszerbekezds"/>
        <w:numPr>
          <w:ilvl w:val="0"/>
          <w:numId w:val="13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  <w:lang w:val="hu"/>
        </w:rPr>
        <w:t xml:space="preserve">A mérlegfőösszeg-arányos nettó adósságállomány </w:t>
      </w:r>
      <w:r w:rsidR="00203748">
        <w:rPr>
          <w:rFonts w:ascii="Myriad Pro" w:hAnsi="Myriad Pro"/>
          <w:sz w:val="24"/>
          <w:szCs w:val="24"/>
          <w:lang w:val="hu"/>
        </w:rPr>
        <w:t>2016 végé</w:t>
      </w:r>
      <w:r w:rsidR="003B5ABD">
        <w:rPr>
          <w:rFonts w:ascii="Myriad Pro" w:hAnsi="Myriad Pro"/>
          <w:sz w:val="24"/>
          <w:szCs w:val="24"/>
          <w:lang w:val="hu"/>
        </w:rPr>
        <w:t>re</w:t>
      </w:r>
      <w:r w:rsidR="00203748">
        <w:rPr>
          <w:rFonts w:ascii="Myriad Pro" w:hAnsi="Myriad Pro"/>
          <w:sz w:val="24"/>
          <w:szCs w:val="24"/>
          <w:lang w:val="hu"/>
        </w:rPr>
        <w:t xml:space="preserve"> 17,4%</w:t>
      </w:r>
      <w:r w:rsidR="003B5ABD">
        <w:rPr>
          <w:rFonts w:ascii="Myriad Pro" w:hAnsi="Myriad Pro"/>
          <w:sz w:val="24"/>
          <w:szCs w:val="24"/>
          <w:lang w:val="hu"/>
        </w:rPr>
        <w:t>-ra csökkent</w:t>
      </w:r>
      <w:r w:rsidR="00203748">
        <w:rPr>
          <w:rFonts w:ascii="Myriad Pro" w:hAnsi="Myriad Pro"/>
          <w:sz w:val="24"/>
          <w:szCs w:val="24"/>
          <w:lang w:val="hu"/>
        </w:rPr>
        <w:t xml:space="preserve"> a 2015 végén </w:t>
      </w:r>
      <w:r w:rsidR="00646596">
        <w:rPr>
          <w:rFonts w:ascii="Myriad Pro" w:hAnsi="Myriad Pro"/>
          <w:sz w:val="24"/>
          <w:szCs w:val="24"/>
          <w:lang w:val="hu"/>
        </w:rPr>
        <w:t>regisztrált</w:t>
      </w:r>
      <w:r w:rsidR="00203748">
        <w:rPr>
          <w:rFonts w:ascii="Myriad Pro" w:hAnsi="Myriad Pro"/>
          <w:sz w:val="24"/>
          <w:szCs w:val="24"/>
          <w:lang w:val="hu"/>
        </w:rPr>
        <w:t xml:space="preserve"> 29,7%-</w:t>
      </w:r>
      <w:r w:rsidR="00646596">
        <w:rPr>
          <w:rFonts w:ascii="Myriad Pro" w:hAnsi="Myriad Pro"/>
          <w:sz w:val="24"/>
          <w:szCs w:val="24"/>
          <w:lang w:val="hu"/>
        </w:rPr>
        <w:t>ról.</w:t>
      </w:r>
      <w:r w:rsidR="00E7182D">
        <w:rPr>
          <w:rFonts w:ascii="Myriad Pro" w:hAnsi="Myriad Pro"/>
          <w:sz w:val="24"/>
          <w:szCs w:val="24"/>
          <w:lang w:val="hu"/>
        </w:rPr>
        <w:t xml:space="preserve"> </w:t>
      </w:r>
    </w:p>
    <w:p w14:paraId="6976781F" w14:textId="77777777" w:rsidR="00935BFC" w:rsidRPr="00DF3B15" w:rsidRDefault="00203748" w:rsidP="00DF3B15">
      <w:pPr>
        <w:pStyle w:val="Listaszerbekezds"/>
        <w:numPr>
          <w:ilvl w:val="0"/>
          <w:numId w:val="13"/>
        </w:numPr>
        <w:spacing w:after="200" w:line="276" w:lineRule="auto"/>
        <w:contextualSpacing/>
        <w:jc w:val="both"/>
      </w:pPr>
      <w:r w:rsidRPr="00DF3B15">
        <w:rPr>
          <w:rFonts w:ascii="Myriad Pro" w:hAnsi="Myriad Pro"/>
          <w:lang w:val="hu"/>
        </w:rPr>
        <w:t>Szilárd, 316,4 millió eurós készpénz</w:t>
      </w:r>
      <w:r w:rsidR="00646596" w:rsidRPr="00DF3B15">
        <w:rPr>
          <w:rFonts w:ascii="Myriad Pro" w:hAnsi="Myriad Pro"/>
          <w:lang w:val="hu"/>
        </w:rPr>
        <w:t>állomány</w:t>
      </w:r>
      <w:r w:rsidRPr="00DF3B15">
        <w:rPr>
          <w:rFonts w:ascii="Myriad Pro" w:hAnsi="Myriad Pro"/>
          <w:lang w:val="hu"/>
        </w:rPr>
        <w:t>, amely a mérlegfőösszeg közel 15%-</w:t>
      </w:r>
      <w:r w:rsidR="00646596" w:rsidRPr="00DF3B15">
        <w:rPr>
          <w:rFonts w:ascii="Myriad Pro" w:hAnsi="Myriad Pro"/>
          <w:lang w:val="hu"/>
        </w:rPr>
        <w:t>ának felel meg</w:t>
      </w:r>
      <w:r w:rsidRPr="00DF3B15">
        <w:rPr>
          <w:rFonts w:ascii="Myriad Pro" w:hAnsi="Myriad Pro"/>
          <w:lang w:val="hu"/>
        </w:rPr>
        <w:t>.</w:t>
      </w:r>
      <w:r w:rsidR="00E7182D" w:rsidRPr="00DF3B15">
        <w:rPr>
          <w:rFonts w:ascii="Myriad Pro" w:hAnsi="Myriad Pro"/>
          <w:lang w:val="hu"/>
        </w:rPr>
        <w:t xml:space="preserve"> </w:t>
      </w:r>
    </w:p>
    <w:p w14:paraId="00EB23B1" w14:textId="77777777" w:rsidR="000B4B33" w:rsidRPr="00DF3B15" w:rsidRDefault="00AE1E83">
      <w:pPr>
        <w:spacing w:after="120" w:line="276" w:lineRule="auto"/>
        <w:contextualSpacing/>
        <w:rPr>
          <w:rFonts w:ascii="Myriad Pro" w:hAnsi="Myriad Pro"/>
          <w:u w:val="single"/>
          <w:lang w:val="hu"/>
        </w:rPr>
      </w:pPr>
      <w:r w:rsidRPr="00DF3B15">
        <w:rPr>
          <w:rFonts w:ascii="Myriad Pro" w:hAnsi="Myriad Pro"/>
          <w:u w:val="single"/>
          <w:lang w:val="hu"/>
        </w:rPr>
        <w:t>Főbb</w:t>
      </w:r>
      <w:r w:rsidR="000B4B33" w:rsidRPr="00DF3B15">
        <w:rPr>
          <w:rFonts w:ascii="Myriad Pro" w:hAnsi="Myriad Pro"/>
          <w:u w:val="single"/>
          <w:lang w:val="hu"/>
        </w:rPr>
        <w:t xml:space="preserve"> üzleti </w:t>
      </w:r>
      <w:r w:rsidRPr="00DF3B15">
        <w:rPr>
          <w:rFonts w:ascii="Myriad Pro" w:hAnsi="Myriad Pro"/>
          <w:u w:val="single"/>
          <w:lang w:val="hu"/>
        </w:rPr>
        <w:t>eredmények</w:t>
      </w:r>
      <w:r w:rsidR="000B4B33" w:rsidRPr="00DF3B15">
        <w:rPr>
          <w:rFonts w:ascii="Myriad Pro" w:hAnsi="Myriad Pro"/>
          <w:u w:val="single"/>
          <w:lang w:val="hu"/>
        </w:rPr>
        <w:t>:</w:t>
      </w:r>
    </w:p>
    <w:p w14:paraId="57C4FC64" w14:textId="77777777" w:rsidR="00E7182D" w:rsidRPr="00DF3B15" w:rsidRDefault="00A77F66" w:rsidP="00671A76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  <w:lang w:val="hu"/>
        </w:rPr>
        <w:t>A koráb</w:t>
      </w:r>
      <w:r w:rsidR="00E7182D">
        <w:rPr>
          <w:rFonts w:ascii="Myriad Pro" w:hAnsi="Myriad Pro"/>
          <w:b/>
          <w:bCs/>
          <w:sz w:val="24"/>
          <w:szCs w:val="24"/>
          <w:lang w:val="hu"/>
        </w:rPr>
        <w:t>bi évekhez</w:t>
      </w:r>
      <w:r>
        <w:rPr>
          <w:rFonts w:ascii="Myriad Pro" w:hAnsi="Myriad Pro"/>
          <w:b/>
          <w:bCs/>
          <w:sz w:val="24"/>
          <w:szCs w:val="24"/>
          <w:lang w:val="hu"/>
        </w:rPr>
        <w:t xml:space="preserve"> hasonlóan</w:t>
      </w:r>
      <w:r w:rsidR="00F7726F">
        <w:rPr>
          <w:rFonts w:ascii="Myriad Pro" w:hAnsi="Myriad Pro"/>
          <w:b/>
          <w:bCs/>
          <w:sz w:val="24"/>
          <w:szCs w:val="24"/>
          <w:lang w:val="hu"/>
        </w:rPr>
        <w:t xml:space="preserve"> </w:t>
      </w:r>
      <w:r w:rsidR="0017243C">
        <w:rPr>
          <w:rFonts w:ascii="Myriad Pro" w:hAnsi="Myriad Pro"/>
          <w:b/>
          <w:bCs/>
          <w:sz w:val="24"/>
          <w:szCs w:val="24"/>
          <w:lang w:val="hu"/>
        </w:rPr>
        <w:t xml:space="preserve">2016-ban </w:t>
      </w:r>
      <w:r w:rsidR="00F7726F">
        <w:rPr>
          <w:rFonts w:ascii="Myriad Pro" w:hAnsi="Myriad Pro"/>
          <w:b/>
          <w:bCs/>
          <w:sz w:val="24"/>
          <w:szCs w:val="24"/>
          <w:lang w:val="hu"/>
        </w:rPr>
        <w:t>is jelentős kereslet mutatkozott a</w:t>
      </w:r>
      <w:r w:rsidR="0017243C">
        <w:rPr>
          <w:rFonts w:ascii="Myriad Pro" w:hAnsi="Myriad Pro"/>
          <w:b/>
          <w:bCs/>
          <w:sz w:val="24"/>
          <w:szCs w:val="24"/>
          <w:lang w:val="hu"/>
        </w:rPr>
        <w:t xml:space="preserve"> HB Reavis</w:t>
      </w:r>
      <w:r w:rsidR="00F7726F">
        <w:rPr>
          <w:rFonts w:ascii="Myriad Pro" w:hAnsi="Myriad Pro"/>
          <w:b/>
          <w:bCs/>
          <w:sz w:val="24"/>
          <w:szCs w:val="24"/>
          <w:lang w:val="hu"/>
        </w:rPr>
        <w:t xml:space="preserve"> épületei iránt</w:t>
      </w:r>
      <w:r w:rsidR="00E7182D">
        <w:rPr>
          <w:rFonts w:ascii="Myriad Pro" w:hAnsi="Myriad Pro"/>
          <w:bCs/>
          <w:sz w:val="24"/>
          <w:szCs w:val="24"/>
          <w:lang w:val="hu"/>
        </w:rPr>
        <w:t xml:space="preserve"> a vállalat minden piacán: </w:t>
      </w:r>
      <w:r w:rsidR="0017243C" w:rsidRPr="005571E4">
        <w:rPr>
          <w:rFonts w:ascii="Myriad Pro" w:hAnsi="Myriad Pro"/>
          <w:bCs/>
          <w:sz w:val="24"/>
          <w:szCs w:val="24"/>
          <w:lang w:val="hu"/>
        </w:rPr>
        <w:t>közel</w:t>
      </w:r>
      <w:r w:rsidR="0017243C">
        <w:rPr>
          <w:rFonts w:ascii="Myriad Pro" w:hAnsi="Myriad Pro"/>
          <w:b/>
          <w:bCs/>
          <w:sz w:val="24"/>
          <w:szCs w:val="24"/>
          <w:lang w:val="hu"/>
        </w:rPr>
        <w:t xml:space="preserve"> </w:t>
      </w:r>
      <w:r w:rsidR="00F7726F">
        <w:rPr>
          <w:rFonts w:ascii="Myriad Pro" w:hAnsi="Myriad Pro"/>
          <w:sz w:val="24"/>
          <w:szCs w:val="24"/>
          <w:lang w:val="hu"/>
        </w:rPr>
        <w:t>134</w:t>
      </w:r>
      <w:r w:rsidR="0017243C">
        <w:rPr>
          <w:rFonts w:ascii="Myriad Pro" w:hAnsi="Myriad Pro"/>
          <w:sz w:val="24"/>
          <w:szCs w:val="24"/>
          <w:lang w:val="hu"/>
        </w:rPr>
        <w:t xml:space="preserve"> </w:t>
      </w:r>
      <w:r w:rsidR="00F7726F">
        <w:rPr>
          <w:rFonts w:ascii="Myriad Pro" w:hAnsi="Myriad Pro"/>
          <w:sz w:val="24"/>
          <w:szCs w:val="24"/>
          <w:lang w:val="hu"/>
        </w:rPr>
        <w:t>000 m</w:t>
      </w:r>
      <w:r w:rsidR="00F7726F">
        <w:rPr>
          <w:rFonts w:ascii="Myriad Pro" w:hAnsi="Myriad Pro"/>
          <w:sz w:val="24"/>
          <w:szCs w:val="24"/>
          <w:vertAlign w:val="superscript"/>
          <w:lang w:val="hu"/>
        </w:rPr>
        <w:t>2</w:t>
      </w:r>
      <w:r w:rsidR="00F7726F">
        <w:rPr>
          <w:rFonts w:ascii="Myriad Pro" w:hAnsi="Myriad Pro"/>
          <w:sz w:val="24"/>
          <w:szCs w:val="24"/>
          <w:lang w:val="hu"/>
        </w:rPr>
        <w:t xml:space="preserve"> bruttó bérbe adható területre</w:t>
      </w:r>
      <w:r w:rsidR="0017243C">
        <w:rPr>
          <w:rFonts w:ascii="Myriad Pro" w:hAnsi="Myriad Pro"/>
          <w:sz w:val="24"/>
          <w:szCs w:val="24"/>
          <w:lang w:val="hu"/>
        </w:rPr>
        <w:t xml:space="preserve"> kötött bérleti szerződést.</w:t>
      </w:r>
      <w:r w:rsidR="00F7726F">
        <w:rPr>
          <w:rFonts w:ascii="Myriad Pro" w:hAnsi="Myriad Pro"/>
          <w:sz w:val="24"/>
          <w:szCs w:val="24"/>
          <w:lang w:val="hu"/>
        </w:rPr>
        <w:t xml:space="preserve"> </w:t>
      </w:r>
      <w:r w:rsidR="00E7182D">
        <w:rPr>
          <w:rFonts w:ascii="Myriad Pro" w:hAnsi="Myriad Pro"/>
          <w:sz w:val="24"/>
          <w:szCs w:val="24"/>
          <w:lang w:val="hu"/>
        </w:rPr>
        <w:t xml:space="preserve">A </w:t>
      </w:r>
      <w:r w:rsidR="00F7726F">
        <w:rPr>
          <w:rFonts w:ascii="Myriad Pro" w:hAnsi="Myriad Pro"/>
          <w:sz w:val="24"/>
          <w:szCs w:val="24"/>
          <w:lang w:val="hu"/>
        </w:rPr>
        <w:t xml:space="preserve">jövedelemtermelő portfólió átlagos kihasználtsága </w:t>
      </w:r>
      <w:r w:rsidR="00E7182D">
        <w:rPr>
          <w:rFonts w:ascii="Myriad Pro" w:hAnsi="Myriad Pro"/>
          <w:sz w:val="24"/>
          <w:szCs w:val="24"/>
          <w:lang w:val="hu"/>
        </w:rPr>
        <w:t xml:space="preserve">magas volt (88%), </w:t>
      </w:r>
      <w:r w:rsidR="00F7726F">
        <w:rPr>
          <w:rFonts w:ascii="Myriad Pro" w:hAnsi="Myriad Pro"/>
          <w:sz w:val="24"/>
          <w:szCs w:val="24"/>
          <w:lang w:val="hu"/>
        </w:rPr>
        <w:t xml:space="preserve">továbbá két városban (Prága és Pozsony) </w:t>
      </w:r>
      <w:r w:rsidR="00E7182D">
        <w:rPr>
          <w:rFonts w:ascii="Myriad Pro" w:hAnsi="Myriad Pro"/>
          <w:sz w:val="24"/>
          <w:szCs w:val="24"/>
          <w:lang w:val="hu"/>
        </w:rPr>
        <w:t>fontos elő</w:t>
      </w:r>
      <w:r w:rsidR="00F34280">
        <w:rPr>
          <w:rFonts w:ascii="Myriad Pro" w:hAnsi="Myriad Pro"/>
          <w:sz w:val="24"/>
          <w:szCs w:val="24"/>
          <w:lang w:val="hu"/>
        </w:rPr>
        <w:t>-</w:t>
      </w:r>
      <w:r w:rsidR="00F7726F">
        <w:rPr>
          <w:rFonts w:ascii="Myriad Pro" w:hAnsi="Myriad Pro"/>
          <w:sz w:val="24"/>
          <w:szCs w:val="24"/>
          <w:lang w:val="hu"/>
        </w:rPr>
        <w:t>bérleti szerződés</w:t>
      </w:r>
      <w:r w:rsidR="0017243C">
        <w:rPr>
          <w:rFonts w:ascii="Myriad Pro" w:hAnsi="Myriad Pro"/>
          <w:sz w:val="24"/>
          <w:szCs w:val="24"/>
          <w:lang w:val="hu"/>
        </w:rPr>
        <w:t xml:space="preserve">t kötöttek </w:t>
      </w:r>
      <w:r w:rsidR="00F7726F">
        <w:rPr>
          <w:rFonts w:ascii="Myriad Pro" w:hAnsi="Myriad Pro"/>
          <w:sz w:val="24"/>
          <w:szCs w:val="24"/>
          <w:lang w:val="hu"/>
        </w:rPr>
        <w:t>a még építés alatt álló épületek</w:t>
      </w:r>
      <w:r w:rsidR="00E7182D">
        <w:rPr>
          <w:rFonts w:ascii="Myriad Pro" w:hAnsi="Myriad Pro"/>
          <w:sz w:val="24"/>
          <w:szCs w:val="24"/>
          <w:lang w:val="hu"/>
        </w:rPr>
        <w:t xml:space="preserve">re, </w:t>
      </w:r>
      <w:r w:rsidR="00F7726F">
        <w:rPr>
          <w:rFonts w:ascii="Myriad Pro" w:hAnsi="Myriad Pro"/>
          <w:sz w:val="24"/>
          <w:szCs w:val="24"/>
          <w:lang w:val="hu"/>
        </w:rPr>
        <w:t>olyan ügyfelekkel, mint a BNP Paribas, az Accenture, a General Electric International vagy az SAP</w:t>
      </w:r>
      <w:r w:rsidR="0017243C">
        <w:rPr>
          <w:rFonts w:ascii="Myriad Pro" w:hAnsi="Myriad Pro"/>
          <w:sz w:val="24"/>
          <w:szCs w:val="24"/>
          <w:lang w:val="hu"/>
        </w:rPr>
        <w:t>.</w:t>
      </w:r>
    </w:p>
    <w:p w14:paraId="3B135FEC" w14:textId="77777777" w:rsidR="00E7182D" w:rsidRPr="00DF3B15" w:rsidRDefault="004D199B" w:rsidP="00935BFC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  <w:lang w:val="hu"/>
        </w:rPr>
        <w:t>A csoport n</w:t>
      </w:r>
      <w:r w:rsidR="00E94ABD">
        <w:rPr>
          <w:rFonts w:ascii="Myriad Pro" w:hAnsi="Myriad Pro"/>
          <w:b/>
          <w:bCs/>
          <w:sz w:val="24"/>
          <w:szCs w:val="24"/>
          <w:lang w:val="hu"/>
        </w:rPr>
        <w:t>égy irodaprojekt</w:t>
      </w:r>
      <w:r>
        <w:rPr>
          <w:rFonts w:ascii="Myriad Pro" w:hAnsi="Myriad Pro"/>
          <w:b/>
          <w:bCs/>
          <w:sz w:val="24"/>
          <w:szCs w:val="24"/>
          <w:lang w:val="hu"/>
        </w:rPr>
        <w:t>et</w:t>
      </w:r>
      <w:r w:rsidR="00E94ABD">
        <w:rPr>
          <w:rFonts w:ascii="Myriad Pro" w:hAnsi="Myriad Pro"/>
          <w:b/>
          <w:bCs/>
          <w:sz w:val="24"/>
          <w:szCs w:val="24"/>
          <w:lang w:val="hu"/>
        </w:rPr>
        <w:t xml:space="preserve"> </w:t>
      </w:r>
      <w:r w:rsidR="00E7182D">
        <w:rPr>
          <w:rFonts w:ascii="Myriad Pro" w:hAnsi="Myriad Pro"/>
          <w:b/>
          <w:bCs/>
          <w:sz w:val="24"/>
          <w:szCs w:val="24"/>
          <w:lang w:val="hu"/>
        </w:rPr>
        <w:t>fejezett be</w:t>
      </w:r>
      <w:r w:rsidR="00E94ABD">
        <w:rPr>
          <w:rFonts w:ascii="Myriad Pro" w:hAnsi="Myriad Pro"/>
          <w:sz w:val="24"/>
          <w:szCs w:val="24"/>
          <w:lang w:val="hu"/>
        </w:rPr>
        <w:t xml:space="preserve"> két európai fővárosban (a Gdanski Business Centre D és a West Station I Varsóban, valamint a Twin City B és C Pozsonyban)</w:t>
      </w:r>
      <w:r>
        <w:rPr>
          <w:rFonts w:ascii="Myriad Pro" w:hAnsi="Myriad Pro"/>
          <w:sz w:val="24"/>
          <w:szCs w:val="24"/>
          <w:lang w:val="hu"/>
        </w:rPr>
        <w:t>.</w:t>
      </w:r>
      <w:r w:rsidR="00E94ABD">
        <w:rPr>
          <w:rFonts w:ascii="Myriad Pro" w:hAnsi="Myriad Pro"/>
          <w:sz w:val="24"/>
          <w:szCs w:val="24"/>
          <w:lang w:val="hu"/>
        </w:rPr>
        <w:t xml:space="preserve"> </w:t>
      </w:r>
      <w:r>
        <w:rPr>
          <w:rFonts w:ascii="Myriad Pro" w:hAnsi="Myriad Pro"/>
          <w:sz w:val="24"/>
          <w:szCs w:val="24"/>
          <w:lang w:val="hu"/>
        </w:rPr>
        <w:t xml:space="preserve">Emellett </w:t>
      </w:r>
      <w:r w:rsidR="00E94ABD">
        <w:rPr>
          <w:rFonts w:ascii="Myriad Pro" w:hAnsi="Myriad Pro"/>
          <w:b/>
          <w:bCs/>
          <w:sz w:val="24"/>
          <w:szCs w:val="24"/>
          <w:lang w:val="hu"/>
        </w:rPr>
        <w:t xml:space="preserve">két kiskereskedelmi </w:t>
      </w:r>
      <w:r w:rsidR="00E7182D">
        <w:rPr>
          <w:rFonts w:ascii="Myriad Pro" w:hAnsi="Myriad Pro"/>
          <w:b/>
          <w:bCs/>
          <w:sz w:val="24"/>
          <w:szCs w:val="24"/>
          <w:lang w:val="hu"/>
        </w:rPr>
        <w:t>funkciójú épületet is átadtak:</w:t>
      </w:r>
      <w:r w:rsidR="00E94ABD">
        <w:rPr>
          <w:rFonts w:ascii="Myriad Pro" w:hAnsi="Myriad Pro"/>
          <w:sz w:val="24"/>
          <w:szCs w:val="24"/>
          <w:lang w:val="hu"/>
        </w:rPr>
        <w:t xml:space="preserve"> Hradec Kralov</w:t>
      </w:r>
      <w:r>
        <w:rPr>
          <w:rFonts w:ascii="Myriad Pro" w:hAnsi="Myriad Pro"/>
          <w:sz w:val="24"/>
          <w:szCs w:val="24"/>
          <w:lang w:val="hu"/>
        </w:rPr>
        <w:t>éban</w:t>
      </w:r>
      <w:r w:rsidR="00E94ABD">
        <w:rPr>
          <w:rFonts w:ascii="Myriad Pro" w:hAnsi="Myriad Pro"/>
          <w:sz w:val="24"/>
          <w:szCs w:val="24"/>
          <w:lang w:val="hu"/>
        </w:rPr>
        <w:t xml:space="preserve"> (Cseh Köztársaság) és Pozsony</w:t>
      </w:r>
      <w:r>
        <w:rPr>
          <w:rFonts w:ascii="Myriad Pro" w:hAnsi="Myriad Pro"/>
          <w:sz w:val="24"/>
          <w:szCs w:val="24"/>
          <w:lang w:val="hu"/>
        </w:rPr>
        <w:t>ban, amelyek együttesen</w:t>
      </w:r>
      <w:r w:rsidR="00E94ABD">
        <w:rPr>
          <w:rFonts w:ascii="Myriad Pro" w:hAnsi="Myriad Pro"/>
          <w:sz w:val="24"/>
          <w:szCs w:val="24"/>
          <w:lang w:val="hu"/>
        </w:rPr>
        <w:t xml:space="preserve"> 13</w:t>
      </w:r>
      <w:r w:rsidR="005571E4">
        <w:rPr>
          <w:rFonts w:ascii="Myriad Pro" w:hAnsi="Myriad Pro"/>
          <w:sz w:val="24"/>
          <w:szCs w:val="24"/>
          <w:lang w:val="hu"/>
        </w:rPr>
        <w:t>6</w:t>
      </w:r>
      <w:r>
        <w:rPr>
          <w:rFonts w:ascii="Myriad Pro" w:hAnsi="Myriad Pro"/>
          <w:sz w:val="24"/>
          <w:szCs w:val="24"/>
          <w:lang w:val="hu"/>
        </w:rPr>
        <w:t xml:space="preserve"> </w:t>
      </w:r>
      <w:r w:rsidR="005571E4">
        <w:rPr>
          <w:rFonts w:ascii="Myriad Pro" w:hAnsi="Myriad Pro"/>
          <w:sz w:val="24"/>
          <w:szCs w:val="24"/>
          <w:lang w:val="hu"/>
        </w:rPr>
        <w:t>7</w:t>
      </w:r>
      <w:r w:rsidR="00E94ABD">
        <w:rPr>
          <w:rFonts w:ascii="Myriad Pro" w:hAnsi="Myriad Pro"/>
          <w:sz w:val="24"/>
          <w:szCs w:val="24"/>
          <w:lang w:val="hu"/>
        </w:rPr>
        <w:t>00 m</w:t>
      </w:r>
      <w:r w:rsidR="00E94ABD">
        <w:rPr>
          <w:rFonts w:ascii="Myriad Pro" w:hAnsi="Myriad Pro"/>
          <w:sz w:val="24"/>
          <w:szCs w:val="24"/>
          <w:vertAlign w:val="superscript"/>
          <w:lang w:val="hu"/>
        </w:rPr>
        <w:t>2</w:t>
      </w:r>
      <w:r w:rsidR="00E94ABD">
        <w:rPr>
          <w:rFonts w:ascii="Myriad Pro" w:hAnsi="Myriad Pro"/>
          <w:sz w:val="24"/>
          <w:szCs w:val="24"/>
          <w:lang w:val="hu"/>
        </w:rPr>
        <w:t xml:space="preserve"> bruttó bérbe adható területet</w:t>
      </w:r>
      <w:r>
        <w:rPr>
          <w:rFonts w:ascii="Myriad Pro" w:hAnsi="Myriad Pro"/>
          <w:sz w:val="24"/>
          <w:szCs w:val="24"/>
          <w:lang w:val="hu"/>
        </w:rPr>
        <w:t xml:space="preserve"> tesznek ki.</w:t>
      </w:r>
    </w:p>
    <w:p w14:paraId="7153ACA2" w14:textId="77777777" w:rsidR="00571F05" w:rsidRPr="00DF3B15" w:rsidRDefault="00571F05" w:rsidP="00671A76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 w:rsidRPr="00935BFC">
        <w:rPr>
          <w:rFonts w:ascii="Myriad Pro" w:hAnsi="Myriad Pro"/>
          <w:sz w:val="24"/>
          <w:szCs w:val="24"/>
          <w:lang w:val="hu"/>
        </w:rPr>
        <w:lastRenderedPageBreak/>
        <w:t>2016 végén</w:t>
      </w:r>
      <w:r w:rsidRPr="00DF3B15">
        <w:rPr>
          <w:rFonts w:ascii="Myriad Pro" w:hAnsi="Myriad Pro"/>
          <w:b/>
          <w:bCs/>
          <w:lang w:val="hu"/>
        </w:rPr>
        <w:t xml:space="preserve"> t</w:t>
      </w:r>
      <w:r w:rsidR="00303FB4" w:rsidRPr="00DF3B15">
        <w:rPr>
          <w:rFonts w:ascii="Myriad Pro" w:hAnsi="Myriad Pro"/>
          <w:b/>
          <w:bCs/>
          <w:lang w:val="hu"/>
        </w:rPr>
        <w:t>íz irodaépület</w:t>
      </w:r>
      <w:r w:rsidR="00935BFC">
        <w:rPr>
          <w:rFonts w:ascii="Myriad Pro" w:hAnsi="Myriad Pro"/>
          <w:b/>
          <w:bCs/>
          <w:sz w:val="24"/>
          <w:szCs w:val="24"/>
          <w:lang w:val="hu"/>
        </w:rPr>
        <w:t xml:space="preserve"> </w:t>
      </w:r>
      <w:r w:rsidR="00303FB4" w:rsidRPr="00935BFC">
        <w:rPr>
          <w:rFonts w:ascii="Myriad Pro" w:hAnsi="Myriad Pro"/>
          <w:sz w:val="24"/>
          <w:szCs w:val="24"/>
          <w:lang w:val="hu"/>
        </w:rPr>
        <w:t>(West Station II, Varso 1, Varso 2, Varso Tower, 33 Central, Cooper &amp; Southwark, 20 Farring</w:t>
      </w:r>
      <w:r w:rsidR="005571E4" w:rsidRPr="00935BFC">
        <w:rPr>
          <w:rFonts w:ascii="Myriad Pro" w:hAnsi="Myriad Pro"/>
          <w:sz w:val="24"/>
          <w:szCs w:val="24"/>
          <w:lang w:val="hu"/>
        </w:rPr>
        <w:t>d</w:t>
      </w:r>
      <w:r w:rsidR="00303FB4" w:rsidRPr="00935BFC">
        <w:rPr>
          <w:rFonts w:ascii="Myriad Pro" w:hAnsi="Myriad Pro"/>
          <w:sz w:val="24"/>
          <w:szCs w:val="24"/>
          <w:lang w:val="hu"/>
        </w:rPr>
        <w:t xml:space="preserve">on, </w:t>
      </w:r>
      <w:r w:rsidR="00303FB4" w:rsidRPr="00DF3B15">
        <w:rPr>
          <w:rFonts w:ascii="Myriad Pro" w:hAnsi="Myriad Pro"/>
          <w:lang w:val="hu"/>
        </w:rPr>
        <w:t>Agora HUB, Agora Tower</w:t>
      </w:r>
      <w:r w:rsidR="00303FB4">
        <w:rPr>
          <w:rFonts w:ascii="Myriad Pro" w:hAnsi="Myriad Pro"/>
          <w:sz w:val="24"/>
          <w:szCs w:val="24"/>
          <w:lang w:val="hu"/>
        </w:rPr>
        <w:t xml:space="preserve"> és Twin City Tower) </w:t>
      </w:r>
      <w:r w:rsidRPr="00DF3B15">
        <w:rPr>
          <w:rFonts w:ascii="Myriad Pro" w:hAnsi="Myriad Pro"/>
          <w:bCs/>
          <w:lang w:val="hu"/>
        </w:rPr>
        <w:t>állt építés alatt</w:t>
      </w:r>
      <w:r w:rsidR="00303FB4">
        <w:rPr>
          <w:rFonts w:ascii="Myriad Pro" w:hAnsi="Myriad Pro"/>
          <w:sz w:val="24"/>
          <w:szCs w:val="24"/>
          <w:lang w:val="hu"/>
        </w:rPr>
        <w:t xml:space="preserve"> </w:t>
      </w:r>
      <w:r w:rsidR="00303FB4" w:rsidRPr="00DF3B15">
        <w:rPr>
          <w:rFonts w:ascii="Myriad Pro" w:hAnsi="Myriad Pro"/>
          <w:lang w:val="hu"/>
        </w:rPr>
        <w:t>négy országban</w:t>
      </w:r>
      <w:r w:rsidR="00303FB4" w:rsidRPr="00935BFC">
        <w:rPr>
          <w:rFonts w:ascii="Myriad Pro" w:hAnsi="Myriad Pro"/>
          <w:sz w:val="24"/>
          <w:szCs w:val="24"/>
          <w:lang w:val="hu"/>
        </w:rPr>
        <w:t>.</w:t>
      </w:r>
      <w:r w:rsidR="00303FB4">
        <w:rPr>
          <w:rFonts w:ascii="Myriad Pro" w:hAnsi="Myriad Pro"/>
          <w:sz w:val="24"/>
          <w:szCs w:val="24"/>
          <w:lang w:val="hu"/>
        </w:rPr>
        <w:t xml:space="preserve"> Ezek együttesen 1,5 milliárd euró célzott bruttó fejlesztési értéket </w:t>
      </w:r>
      <w:r>
        <w:rPr>
          <w:rFonts w:ascii="Myriad Pro" w:hAnsi="Myriad Pro"/>
          <w:sz w:val="24"/>
          <w:szCs w:val="24"/>
          <w:lang w:val="hu"/>
        </w:rPr>
        <w:t xml:space="preserve">jelentenek. </w:t>
      </w:r>
    </w:p>
    <w:p w14:paraId="3212C321" w14:textId="77777777" w:rsidR="00295B93" w:rsidRPr="00DF3B15" w:rsidRDefault="00295B93" w:rsidP="00935BFC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 w:rsidRPr="00DF3B15">
        <w:rPr>
          <w:rFonts w:ascii="Myriad Pro" w:hAnsi="Myriad Pro"/>
          <w:b/>
          <w:lang w:val="hu"/>
        </w:rPr>
        <w:t>5 új projekt megvásárlása</w:t>
      </w:r>
      <w:r>
        <w:rPr>
          <w:rFonts w:ascii="Myriad Pro" w:hAnsi="Myriad Pro"/>
          <w:sz w:val="24"/>
          <w:szCs w:val="24"/>
          <w:lang w:val="hu"/>
        </w:rPr>
        <w:t xml:space="preserve"> </w:t>
      </w:r>
      <w:r w:rsidRPr="000B0AEA">
        <w:rPr>
          <w:rFonts w:ascii="Myriad Pro" w:hAnsi="Myriad Pro"/>
          <w:sz w:val="24"/>
          <w:szCs w:val="24"/>
          <w:lang w:val="hu"/>
        </w:rPr>
        <w:t>révén</w:t>
      </w:r>
      <w:r w:rsidRPr="00671A76">
        <w:rPr>
          <w:rFonts w:ascii="Myriad Pro" w:hAnsi="Myriad Pro"/>
          <w:sz w:val="24"/>
          <w:szCs w:val="24"/>
          <w:lang w:val="hu"/>
        </w:rPr>
        <w:t xml:space="preserve"> </w:t>
      </w:r>
      <w:r>
        <w:rPr>
          <w:rFonts w:ascii="Myriad Pro" w:hAnsi="Myriad Pro"/>
          <w:sz w:val="24"/>
          <w:szCs w:val="24"/>
          <w:lang w:val="hu"/>
        </w:rPr>
        <w:t>a</w:t>
      </w:r>
      <w:r w:rsidR="0018302A" w:rsidRPr="00DF3B15">
        <w:rPr>
          <w:rFonts w:ascii="Myriad Pro" w:hAnsi="Myriad Pro"/>
          <w:sz w:val="24"/>
          <w:szCs w:val="24"/>
          <w:lang w:val="hu"/>
        </w:rPr>
        <w:t xml:space="preserve"> fejlesztési portfólió megerősítésére és diverzifikálására került sor</w:t>
      </w:r>
      <w:r>
        <w:rPr>
          <w:rFonts w:ascii="Myriad Pro" w:hAnsi="Myriad Pro"/>
          <w:sz w:val="24"/>
          <w:szCs w:val="24"/>
          <w:lang w:val="hu"/>
        </w:rPr>
        <w:t>:</w:t>
      </w:r>
      <w:r w:rsidR="0018302A" w:rsidRPr="00DF3B15">
        <w:rPr>
          <w:rFonts w:ascii="Myriad Pro" w:hAnsi="Myriad Pro"/>
          <w:sz w:val="24"/>
          <w:szCs w:val="24"/>
          <w:lang w:val="hu"/>
        </w:rPr>
        <w:t xml:space="preserve"> Csehországban, az Egyesült Királyságban, Magyarországon és Szlovákiában, összesen 85,4 millió euró értékben</w:t>
      </w:r>
      <w:r>
        <w:rPr>
          <w:rFonts w:ascii="Myriad Pro" w:hAnsi="Myriad Pro"/>
          <w:sz w:val="24"/>
          <w:szCs w:val="24"/>
          <w:lang w:val="hu"/>
        </w:rPr>
        <w:t xml:space="preserve"> vásárolt új projekteket a vállalat</w:t>
      </w:r>
      <w:r w:rsidR="0018302A" w:rsidRPr="00DF3B15">
        <w:rPr>
          <w:rFonts w:ascii="Myriad Pro" w:hAnsi="Myriad Pro"/>
          <w:sz w:val="24"/>
          <w:szCs w:val="24"/>
          <w:lang w:val="hu"/>
        </w:rPr>
        <w:t>, amelyek</w:t>
      </w:r>
      <w:r w:rsidR="00182F00" w:rsidRPr="00DF3B15">
        <w:rPr>
          <w:rFonts w:ascii="Myriad Pro" w:hAnsi="Myriad Pro"/>
          <w:sz w:val="24"/>
          <w:szCs w:val="24"/>
          <w:lang w:val="hu"/>
        </w:rPr>
        <w:t>ben</w:t>
      </w:r>
      <w:r w:rsidR="0018302A" w:rsidRPr="00DF3B15">
        <w:rPr>
          <w:rFonts w:ascii="Myriad Pro" w:hAnsi="Myriad Pro"/>
          <w:sz w:val="24"/>
          <w:szCs w:val="24"/>
          <w:lang w:val="hu"/>
        </w:rPr>
        <w:t xml:space="preserve"> egyedülálló lehetőségek</w:t>
      </w:r>
      <w:r w:rsidR="00182F00" w:rsidRPr="00DF3B15">
        <w:rPr>
          <w:rFonts w:ascii="Myriad Pro" w:hAnsi="Myriad Pro"/>
          <w:sz w:val="24"/>
          <w:szCs w:val="24"/>
          <w:lang w:val="hu"/>
        </w:rPr>
        <w:t xml:space="preserve"> </w:t>
      </w:r>
      <w:r w:rsidR="0018302A" w:rsidRPr="00DF3B15">
        <w:rPr>
          <w:rFonts w:ascii="Myriad Pro" w:hAnsi="Myriad Pro"/>
          <w:sz w:val="24"/>
          <w:szCs w:val="24"/>
          <w:lang w:val="hu"/>
        </w:rPr>
        <w:t>rej</w:t>
      </w:r>
      <w:r w:rsidR="00182F00" w:rsidRPr="00DF3B15">
        <w:rPr>
          <w:rFonts w:ascii="Myriad Pro" w:hAnsi="Myriad Pro"/>
          <w:sz w:val="24"/>
          <w:szCs w:val="24"/>
          <w:lang w:val="hu"/>
        </w:rPr>
        <w:t>l</w:t>
      </w:r>
      <w:r w:rsidR="0018302A" w:rsidRPr="00DF3B15">
        <w:rPr>
          <w:rFonts w:ascii="Myriad Pro" w:hAnsi="Myriad Pro"/>
          <w:sz w:val="24"/>
          <w:szCs w:val="24"/>
          <w:lang w:val="hu"/>
        </w:rPr>
        <w:t>enek</w:t>
      </w:r>
      <w:r w:rsidR="00182F00" w:rsidRPr="00DF3B15">
        <w:rPr>
          <w:rFonts w:ascii="Myriad Pro" w:hAnsi="Myriad Pro"/>
          <w:sz w:val="24"/>
          <w:szCs w:val="24"/>
          <w:lang w:val="hu"/>
        </w:rPr>
        <w:t>.</w:t>
      </w:r>
      <w:r w:rsidR="0018302A" w:rsidRPr="00DF3B15">
        <w:rPr>
          <w:rFonts w:ascii="Myriad Pro" w:hAnsi="Myriad Pro"/>
          <w:sz w:val="24"/>
          <w:szCs w:val="24"/>
          <w:lang w:val="hu"/>
        </w:rPr>
        <w:t xml:space="preserve">  </w:t>
      </w:r>
    </w:p>
    <w:p w14:paraId="14D4A1A2" w14:textId="77777777" w:rsidR="00571F05" w:rsidRPr="009C46FD" w:rsidRDefault="008266D5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</w:pPr>
      <w:r w:rsidRPr="00DF3B15">
        <w:rPr>
          <w:rFonts w:ascii="Myriad Pro" w:hAnsi="Myriad Pro"/>
          <w:b/>
          <w:bCs/>
          <w:lang w:val="hu"/>
        </w:rPr>
        <w:t xml:space="preserve">A csoport </w:t>
      </w:r>
      <w:r w:rsidR="00E94ABD" w:rsidRPr="00DF3B15">
        <w:rPr>
          <w:rFonts w:ascii="Myriad Pro" w:hAnsi="Myriad Pro"/>
          <w:b/>
          <w:bCs/>
          <w:lang w:val="hu"/>
        </w:rPr>
        <w:t>14 befektetési célú ingatlan</w:t>
      </w:r>
      <w:r w:rsidRPr="00DF3B15">
        <w:rPr>
          <w:rFonts w:ascii="Myriad Pro" w:hAnsi="Myriad Pro"/>
          <w:b/>
          <w:bCs/>
          <w:lang w:val="hu"/>
        </w:rPr>
        <w:t>t</w:t>
      </w:r>
      <w:r w:rsidR="00E94ABD" w:rsidRPr="00DF3B15">
        <w:rPr>
          <w:rFonts w:ascii="Myriad Pro" w:hAnsi="Myriad Pro"/>
          <w:b/>
          <w:bCs/>
          <w:lang w:val="hu"/>
        </w:rPr>
        <w:t xml:space="preserve"> értékesít</w:t>
      </w:r>
      <w:r w:rsidRPr="00DF3B15">
        <w:rPr>
          <w:rFonts w:ascii="Myriad Pro" w:hAnsi="Myriad Pro"/>
          <w:b/>
          <w:bCs/>
          <w:lang w:val="hu"/>
        </w:rPr>
        <w:t>ett</w:t>
      </w:r>
      <w:r w:rsidR="00E94ABD" w:rsidRPr="00DF3B15">
        <w:rPr>
          <w:rFonts w:ascii="Myriad Pro" w:hAnsi="Myriad Pro"/>
          <w:b/>
          <w:bCs/>
          <w:lang w:val="hu"/>
        </w:rPr>
        <w:t>,</w:t>
      </w:r>
      <w:r w:rsidR="00E94ABD" w:rsidRPr="00DF3B15">
        <w:rPr>
          <w:rFonts w:ascii="Myriad Pro" w:hAnsi="Myriad Pro"/>
          <w:lang w:val="hu"/>
        </w:rPr>
        <w:t xml:space="preserve"> amelyek együttes bruttó fejlesztési értéke </w:t>
      </w:r>
      <w:r w:rsidR="00E94ABD" w:rsidRPr="00DF3B15">
        <w:rPr>
          <w:rFonts w:ascii="Myriad Pro" w:hAnsi="Myriad Pro"/>
          <w:b/>
          <w:bCs/>
          <w:lang w:val="hu"/>
        </w:rPr>
        <w:t>meghaladja az 1 milliárd eurót</w:t>
      </w:r>
      <w:r w:rsidR="00E94ABD" w:rsidRPr="00DF3B15">
        <w:rPr>
          <w:rFonts w:ascii="Myriad Pro" w:hAnsi="Myriad Pro"/>
          <w:lang w:val="hu"/>
        </w:rPr>
        <w:t xml:space="preserve"> (beleértve a HB Reavis CE REIF alap</w:t>
      </w:r>
      <w:r w:rsidR="00355470" w:rsidRPr="00DF3B15">
        <w:rPr>
          <w:rFonts w:ascii="Myriad Pro" w:hAnsi="Myriad Pro"/>
          <w:lang w:val="hu"/>
        </w:rPr>
        <w:t>jának</w:t>
      </w:r>
      <w:r w:rsidR="00E94ABD" w:rsidRPr="00DF3B15">
        <w:rPr>
          <w:rFonts w:ascii="Myriad Pro" w:hAnsi="Myriad Pro"/>
          <w:lang w:val="hu"/>
        </w:rPr>
        <w:t xml:space="preserve"> értékesítéseit is)</w:t>
      </w:r>
      <w:r w:rsidR="00355470" w:rsidRPr="00DF3B15">
        <w:rPr>
          <w:rFonts w:ascii="Myriad Pro" w:hAnsi="Myriad Pro"/>
          <w:lang w:val="hu"/>
        </w:rPr>
        <w:t>.</w:t>
      </w:r>
    </w:p>
    <w:p w14:paraId="3C4972C2" w14:textId="77777777" w:rsidR="00571F05" w:rsidRPr="00DF3B15" w:rsidRDefault="00355470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  <w:lang w:val="hu"/>
        </w:rPr>
        <w:t>Sikerült elérni,</w:t>
      </w:r>
      <w:r w:rsidRPr="005571E4">
        <w:rPr>
          <w:rFonts w:ascii="Myriad Pro" w:hAnsi="Myriad Pro"/>
          <w:bCs/>
          <w:sz w:val="24"/>
          <w:szCs w:val="24"/>
          <w:lang w:val="hu"/>
        </w:rPr>
        <w:t xml:space="preserve"> hogy</w:t>
      </w:r>
      <w:r>
        <w:rPr>
          <w:rFonts w:ascii="Myriad Pro" w:hAnsi="Myriad Pro"/>
          <w:b/>
          <w:bCs/>
          <w:sz w:val="24"/>
          <w:szCs w:val="24"/>
          <w:lang w:val="hu"/>
        </w:rPr>
        <w:t xml:space="preserve"> </w:t>
      </w:r>
      <w:r w:rsidR="00D707C7">
        <w:rPr>
          <w:rFonts w:ascii="Myriad Pro" w:hAnsi="Myriad Pro"/>
          <w:sz w:val="24"/>
          <w:szCs w:val="24"/>
          <w:lang w:val="hu"/>
        </w:rPr>
        <w:t>a fejlesztési</w:t>
      </w:r>
      <w:r w:rsidR="003D38FB">
        <w:rPr>
          <w:rFonts w:ascii="Myriad Pro" w:hAnsi="Myriad Pro"/>
          <w:sz w:val="24"/>
          <w:szCs w:val="24"/>
          <w:lang w:val="hu"/>
        </w:rPr>
        <w:t>-</w:t>
      </w:r>
      <w:r w:rsidR="00D707C7">
        <w:rPr>
          <w:rFonts w:ascii="Myriad Pro" w:hAnsi="Myriad Pro"/>
          <w:sz w:val="24"/>
          <w:szCs w:val="24"/>
          <w:lang w:val="hu"/>
        </w:rPr>
        <w:t xml:space="preserve"> és a jövedelemtermelő portfólió </w:t>
      </w:r>
      <w:r w:rsidR="00D707C7">
        <w:rPr>
          <w:rFonts w:ascii="Myriad Pro" w:hAnsi="Myriad Pro"/>
          <w:b/>
          <w:bCs/>
          <w:sz w:val="24"/>
          <w:szCs w:val="24"/>
          <w:lang w:val="hu"/>
        </w:rPr>
        <w:t>50:50 arán</w:t>
      </w:r>
      <w:r>
        <w:rPr>
          <w:rFonts w:ascii="Myriad Pro" w:hAnsi="Myriad Pro"/>
          <w:b/>
          <w:bCs/>
          <w:sz w:val="24"/>
          <w:szCs w:val="24"/>
          <w:lang w:val="hu"/>
        </w:rPr>
        <w:t>yban oszlik</w:t>
      </w:r>
      <w:r>
        <w:rPr>
          <w:rFonts w:ascii="Myriad Pro" w:hAnsi="Myriad Pro"/>
          <w:sz w:val="24"/>
          <w:szCs w:val="24"/>
          <w:lang w:val="hu"/>
        </w:rPr>
        <w:t xml:space="preserve"> </w:t>
      </w:r>
      <w:r w:rsidRPr="005571E4">
        <w:rPr>
          <w:rFonts w:ascii="Myriad Pro" w:hAnsi="Myriad Pro"/>
          <w:b/>
          <w:sz w:val="24"/>
          <w:szCs w:val="24"/>
          <w:lang w:val="hu"/>
        </w:rPr>
        <w:t>meg.</w:t>
      </w:r>
    </w:p>
    <w:p w14:paraId="68C44B13" w14:textId="77777777" w:rsidR="009D4FD3" w:rsidRPr="00DF3B15" w:rsidRDefault="00430013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bCs/>
          <w:sz w:val="24"/>
          <w:szCs w:val="24"/>
          <w:lang w:val="hu"/>
        </w:rPr>
      </w:pPr>
      <w:r>
        <w:rPr>
          <w:rFonts w:ascii="Myriad Pro" w:hAnsi="Myriad Pro"/>
          <w:b/>
          <w:bCs/>
          <w:sz w:val="24"/>
          <w:szCs w:val="24"/>
          <w:lang w:val="hu"/>
        </w:rPr>
        <w:t>A</w:t>
      </w:r>
      <w:r w:rsidR="00966710">
        <w:rPr>
          <w:rFonts w:ascii="Myriad Pro" w:hAnsi="Myriad Pro"/>
          <w:b/>
          <w:bCs/>
          <w:sz w:val="24"/>
          <w:szCs w:val="24"/>
          <w:lang w:val="hu"/>
        </w:rPr>
        <w:t xml:space="preserve"> nettó hitelállomány </w:t>
      </w:r>
      <w:r w:rsidRPr="00DF3B15">
        <w:rPr>
          <w:rFonts w:ascii="Myriad Pro" w:hAnsi="Myriad Pro"/>
          <w:bCs/>
          <w:sz w:val="24"/>
          <w:szCs w:val="24"/>
          <w:lang w:val="hu"/>
        </w:rPr>
        <w:t>több mint 320 millió euróval emelke</w:t>
      </w:r>
      <w:r w:rsidR="00966710" w:rsidRPr="00DF3B15">
        <w:rPr>
          <w:rFonts w:ascii="Myriad Pro" w:hAnsi="Myriad Pro"/>
          <w:bCs/>
          <w:sz w:val="24"/>
          <w:szCs w:val="24"/>
          <w:lang w:val="hu"/>
        </w:rPr>
        <w:t xml:space="preserve">dett </w:t>
      </w:r>
      <w:r w:rsidRPr="00DF3B15">
        <w:rPr>
          <w:rFonts w:ascii="Myriad Pro" w:hAnsi="Myriad Pro"/>
          <w:bCs/>
          <w:sz w:val="24"/>
          <w:szCs w:val="24"/>
          <w:lang w:val="hu"/>
        </w:rPr>
        <w:t>a banki hitelek és a kibocsátott kötvények révén.</w:t>
      </w:r>
      <w:r w:rsidR="00571F05" w:rsidRPr="00DF3B15">
        <w:rPr>
          <w:rFonts w:ascii="Myriad Pro" w:hAnsi="Myriad Pro"/>
          <w:bCs/>
          <w:sz w:val="24"/>
          <w:szCs w:val="24"/>
          <w:lang w:val="hu"/>
        </w:rPr>
        <w:t xml:space="preserve"> </w:t>
      </w:r>
    </w:p>
    <w:p w14:paraId="4D81067F" w14:textId="77777777" w:rsidR="00225529" w:rsidRPr="00DF3B15" w:rsidRDefault="00355470" w:rsidP="00347135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  <w:lang w:val="hu"/>
        </w:rPr>
        <w:t xml:space="preserve">A csoport egy </w:t>
      </w:r>
      <w:r w:rsidR="00225529">
        <w:rPr>
          <w:rFonts w:ascii="Myriad Pro" w:hAnsi="Myriad Pro"/>
          <w:sz w:val="24"/>
          <w:szCs w:val="24"/>
          <w:lang w:val="hu"/>
        </w:rPr>
        <w:t xml:space="preserve">speciálisan e célra kijelölt </w:t>
      </w:r>
      <w:r w:rsidR="00225529">
        <w:rPr>
          <w:rFonts w:ascii="Myriad Pro" w:hAnsi="Myriad Pro"/>
          <w:b/>
          <w:bCs/>
          <w:sz w:val="24"/>
          <w:szCs w:val="24"/>
          <w:lang w:val="hu"/>
        </w:rPr>
        <w:t>üzletfejlesztési csapat</w:t>
      </w:r>
      <w:r>
        <w:rPr>
          <w:rFonts w:ascii="Myriad Pro" w:hAnsi="Myriad Pro"/>
          <w:b/>
          <w:bCs/>
          <w:sz w:val="24"/>
          <w:szCs w:val="24"/>
          <w:lang w:val="hu"/>
        </w:rPr>
        <w:t>ot hozott</w:t>
      </w:r>
      <w:r w:rsidR="00225529">
        <w:rPr>
          <w:rFonts w:ascii="Myriad Pro" w:hAnsi="Myriad Pro"/>
          <w:b/>
          <w:bCs/>
          <w:sz w:val="24"/>
          <w:szCs w:val="24"/>
          <w:lang w:val="hu"/>
        </w:rPr>
        <w:t xml:space="preserve"> létre Berlinben</w:t>
      </w:r>
      <w:r w:rsidR="00225529">
        <w:rPr>
          <w:rFonts w:ascii="Myriad Pro" w:hAnsi="Myriad Pro"/>
          <w:sz w:val="24"/>
          <w:szCs w:val="24"/>
          <w:lang w:val="hu"/>
        </w:rPr>
        <w:t xml:space="preserve">. </w:t>
      </w:r>
    </w:p>
    <w:p w14:paraId="69E313DF" w14:textId="77777777" w:rsidR="00E7182D" w:rsidRDefault="00E7182D" w:rsidP="00DF3B15">
      <w:pPr>
        <w:spacing w:after="200" w:line="276" w:lineRule="auto"/>
        <w:contextualSpacing/>
        <w:jc w:val="both"/>
        <w:rPr>
          <w:rFonts w:ascii="Myriad Pro" w:hAnsi="Myriad Pro"/>
        </w:rPr>
      </w:pPr>
    </w:p>
    <w:p w14:paraId="477E34C4" w14:textId="77777777" w:rsidR="00D50745" w:rsidRDefault="00C2730E" w:rsidP="00D50745">
      <w:pPr>
        <w:jc w:val="both"/>
        <w:rPr>
          <w:rFonts w:ascii="Myriad Pro" w:eastAsiaTheme="minorHAnsi" w:hAnsi="Myriad Pro"/>
          <w:lang w:val="hu"/>
        </w:rPr>
      </w:pPr>
      <w:r>
        <w:rPr>
          <w:rFonts w:ascii="Myriad Pro" w:eastAsiaTheme="minorHAnsi" w:hAnsi="Myriad Pro"/>
          <w:lang w:val="hu"/>
        </w:rPr>
        <w:t xml:space="preserve">A </w:t>
      </w:r>
      <w:r w:rsidR="00225529">
        <w:rPr>
          <w:rFonts w:ascii="Myriad Pro" w:eastAsiaTheme="minorHAnsi" w:hAnsi="Myriad Pro"/>
          <w:lang w:val="hu"/>
        </w:rPr>
        <w:t>2016-</w:t>
      </w:r>
      <w:r w:rsidR="00295B93">
        <w:rPr>
          <w:rFonts w:ascii="Myriad Pro" w:eastAsiaTheme="minorHAnsi" w:hAnsi="Myriad Pro"/>
          <w:lang w:val="hu"/>
        </w:rPr>
        <w:t xml:space="preserve">os jelentős </w:t>
      </w:r>
      <w:r w:rsidR="00225529">
        <w:rPr>
          <w:rFonts w:ascii="Myriad Pro" w:eastAsiaTheme="minorHAnsi" w:hAnsi="Myriad Pro"/>
          <w:lang w:val="hu"/>
        </w:rPr>
        <w:t xml:space="preserve">üzleti teljesítményen túlmenően </w:t>
      </w:r>
      <w:r w:rsidR="00295B93">
        <w:rPr>
          <w:rFonts w:ascii="Myriad Pro" w:eastAsiaTheme="minorHAnsi" w:hAnsi="Myriad Pro"/>
          <w:lang w:val="hu"/>
        </w:rPr>
        <w:t xml:space="preserve">a HB Reavis </w:t>
      </w:r>
      <w:r w:rsidR="00225529">
        <w:rPr>
          <w:rFonts w:ascii="Myriad Pro" w:eastAsiaTheme="minorHAnsi" w:hAnsi="Myriad Pro"/>
          <w:lang w:val="hu"/>
        </w:rPr>
        <w:t xml:space="preserve">számos stratégiai kezdeményezést is </w:t>
      </w:r>
      <w:r w:rsidR="00295B93">
        <w:rPr>
          <w:rFonts w:ascii="Myriad Pro" w:eastAsiaTheme="minorHAnsi" w:hAnsi="Myriad Pro"/>
          <w:lang w:val="hu"/>
        </w:rPr>
        <w:t xml:space="preserve">elkezdett. </w:t>
      </w:r>
      <w:r w:rsidR="003D38FB">
        <w:rPr>
          <w:rFonts w:ascii="Myriad Pro" w:eastAsiaTheme="minorHAnsi" w:hAnsi="Myriad Pro"/>
          <w:lang w:val="hu"/>
        </w:rPr>
        <w:t>A vállalat e</w:t>
      </w:r>
      <w:r w:rsidR="00295B93">
        <w:rPr>
          <w:rFonts w:ascii="Myriad Pro" w:eastAsiaTheme="minorHAnsi" w:hAnsi="Myriad Pro"/>
          <w:lang w:val="hu"/>
        </w:rPr>
        <w:t>lindította</w:t>
      </w:r>
      <w:r w:rsidR="00225529">
        <w:rPr>
          <w:rFonts w:ascii="Myriad Pro" w:eastAsiaTheme="minorHAnsi" w:hAnsi="Myriad Pro"/>
          <w:lang w:val="hu"/>
        </w:rPr>
        <w:t xml:space="preserve"> Origame</w:t>
      </w:r>
      <w:r w:rsidR="003D38FB">
        <w:rPr>
          <w:rFonts w:ascii="Myriad Pro" w:eastAsiaTheme="minorHAnsi" w:hAnsi="Myriad Pro"/>
          <w:lang w:val="hu"/>
        </w:rPr>
        <w:t>o üzletágát</w:t>
      </w:r>
      <w:r w:rsidR="00225529">
        <w:rPr>
          <w:rFonts w:ascii="Myriad Pro" w:eastAsiaTheme="minorHAnsi" w:hAnsi="Myriad Pro"/>
          <w:lang w:val="hu"/>
        </w:rPr>
        <w:t>, amel</w:t>
      </w:r>
      <w:r w:rsidR="00295B93">
        <w:rPr>
          <w:rFonts w:ascii="Myriad Pro" w:eastAsiaTheme="minorHAnsi" w:hAnsi="Myriad Pro"/>
          <w:lang w:val="hu"/>
        </w:rPr>
        <w:t xml:space="preserve">lyel ügyfélre szabott konzultációt és  </w:t>
      </w:r>
      <w:r w:rsidR="00225529">
        <w:rPr>
          <w:rFonts w:ascii="Myriad Pro" w:eastAsiaTheme="minorHAnsi" w:hAnsi="Myriad Pro"/>
          <w:lang w:val="hu"/>
        </w:rPr>
        <w:t>megoldás</w:t>
      </w:r>
      <w:r w:rsidR="00295B93">
        <w:rPr>
          <w:rFonts w:ascii="Myriad Pro" w:eastAsiaTheme="minorHAnsi" w:hAnsi="Myriad Pro"/>
          <w:lang w:val="hu"/>
        </w:rPr>
        <w:t>t</w:t>
      </w:r>
      <w:r w:rsidR="00225529">
        <w:rPr>
          <w:rFonts w:ascii="Myriad Pro" w:eastAsiaTheme="minorHAnsi" w:hAnsi="Myriad Pro"/>
          <w:lang w:val="hu"/>
        </w:rPr>
        <w:t xml:space="preserve"> kínál</w:t>
      </w:r>
      <w:r w:rsidR="00AE6EDD">
        <w:rPr>
          <w:rFonts w:ascii="Myriad Pro" w:eastAsiaTheme="minorHAnsi" w:hAnsi="Myriad Pro"/>
          <w:lang w:val="hu"/>
        </w:rPr>
        <w:t xml:space="preserve"> az át</w:t>
      </w:r>
      <w:r w:rsidR="00295B93">
        <w:rPr>
          <w:rFonts w:ascii="Myriad Pro" w:eastAsiaTheme="minorHAnsi" w:hAnsi="Myriad Pro"/>
          <w:lang w:val="hu"/>
        </w:rPr>
        <w:t>költözést</w:t>
      </w:r>
      <w:r w:rsidR="00AE6EDD">
        <w:rPr>
          <w:rFonts w:ascii="Myriad Pro" w:eastAsiaTheme="minorHAnsi" w:hAnsi="Myriad Pro"/>
          <w:lang w:val="hu"/>
        </w:rPr>
        <w:t xml:space="preserve"> tervező ügyfelek számára</w:t>
      </w:r>
      <w:r w:rsidR="00295B93">
        <w:rPr>
          <w:rFonts w:ascii="Myriad Pro" w:eastAsiaTheme="minorHAnsi" w:hAnsi="Myriad Pro"/>
          <w:lang w:val="hu"/>
        </w:rPr>
        <w:t xml:space="preserve">. </w:t>
      </w:r>
      <w:r w:rsidR="00225529">
        <w:rPr>
          <w:rFonts w:ascii="Myriad Pro" w:eastAsiaTheme="minorHAnsi" w:hAnsi="Myriad Pro"/>
          <w:lang w:val="hu"/>
        </w:rPr>
        <w:t>Az Origameo</w:t>
      </w:r>
      <w:r w:rsidR="008F021F">
        <w:rPr>
          <w:rFonts w:ascii="Myriad Pro" w:eastAsiaTheme="minorHAnsi" w:hAnsi="Myriad Pro"/>
          <w:lang w:val="hu"/>
        </w:rPr>
        <w:t xml:space="preserve"> </w:t>
      </w:r>
      <w:r w:rsidR="00225529">
        <w:rPr>
          <w:rFonts w:ascii="Myriad Pro" w:eastAsiaTheme="minorHAnsi" w:hAnsi="Myriad Pro"/>
          <w:lang w:val="hu"/>
        </w:rPr>
        <w:t xml:space="preserve">egy építészekből, tervezőkből, </w:t>
      </w:r>
      <w:r w:rsidR="008F021F">
        <w:rPr>
          <w:rFonts w:ascii="Myriad Pro" w:eastAsiaTheme="minorHAnsi" w:hAnsi="Myriad Pro"/>
          <w:lang w:val="hu"/>
        </w:rPr>
        <w:t xml:space="preserve">szociológusokból, </w:t>
      </w:r>
      <w:r w:rsidR="003D38FB">
        <w:rPr>
          <w:rFonts w:ascii="Myriad Pro" w:eastAsiaTheme="minorHAnsi" w:hAnsi="Myriad Pro"/>
          <w:lang w:val="hu"/>
        </w:rPr>
        <w:t>„</w:t>
      </w:r>
      <w:r w:rsidR="00225529">
        <w:rPr>
          <w:rFonts w:ascii="Myriad Pro" w:eastAsiaTheme="minorHAnsi" w:hAnsi="Myriad Pro"/>
          <w:lang w:val="hu"/>
        </w:rPr>
        <w:t>innovátorokból</w:t>
      </w:r>
      <w:r w:rsidR="003D38FB">
        <w:rPr>
          <w:rFonts w:ascii="Myriad Pro" w:eastAsiaTheme="minorHAnsi" w:hAnsi="Myriad Pro"/>
          <w:lang w:val="hu"/>
        </w:rPr>
        <w:t>”</w:t>
      </w:r>
      <w:r w:rsidR="00225529">
        <w:rPr>
          <w:rFonts w:ascii="Myriad Pro" w:eastAsiaTheme="minorHAnsi" w:hAnsi="Myriad Pro"/>
          <w:lang w:val="hu"/>
        </w:rPr>
        <w:t xml:space="preserve"> és üzleti tanácsadókból álló csapat, </w:t>
      </w:r>
      <w:r w:rsidR="008F021F">
        <w:rPr>
          <w:rFonts w:ascii="Myriad Pro" w:eastAsiaTheme="minorHAnsi" w:hAnsi="Myriad Pro"/>
          <w:lang w:val="hu"/>
        </w:rPr>
        <w:t xml:space="preserve">amely </w:t>
      </w:r>
      <w:r w:rsidR="00225529">
        <w:rPr>
          <w:rFonts w:ascii="Myriad Pro" w:eastAsiaTheme="minorHAnsi" w:hAnsi="Myriad Pro"/>
          <w:lang w:val="hu"/>
        </w:rPr>
        <w:t xml:space="preserve">segít az ügyfeleknek, hogy a lehető legtöbbet </w:t>
      </w:r>
      <w:r w:rsidR="008F021F">
        <w:rPr>
          <w:rFonts w:ascii="Myriad Pro" w:eastAsiaTheme="minorHAnsi" w:hAnsi="Myriad Pro"/>
          <w:lang w:val="hu"/>
        </w:rPr>
        <w:t>haszn</w:t>
      </w:r>
      <w:r w:rsidR="003D38FB">
        <w:rPr>
          <w:rFonts w:ascii="Myriad Pro" w:eastAsiaTheme="minorHAnsi" w:hAnsi="Myriad Pro"/>
          <w:lang w:val="hu"/>
        </w:rPr>
        <w:t>osítsanak</w:t>
      </w:r>
      <w:r w:rsidR="00225529">
        <w:rPr>
          <w:rFonts w:ascii="Myriad Pro" w:eastAsiaTheme="minorHAnsi" w:hAnsi="Myriad Pro"/>
          <w:lang w:val="hu"/>
        </w:rPr>
        <w:t xml:space="preserve"> </w:t>
      </w:r>
      <w:r w:rsidR="008F021F">
        <w:rPr>
          <w:rFonts w:ascii="Myriad Pro" w:eastAsiaTheme="minorHAnsi" w:hAnsi="Myriad Pro"/>
          <w:lang w:val="hu"/>
        </w:rPr>
        <w:t>a</w:t>
      </w:r>
      <w:r w:rsidR="003D38FB">
        <w:rPr>
          <w:rFonts w:ascii="Myriad Pro" w:eastAsiaTheme="minorHAnsi" w:hAnsi="Myriad Pro"/>
          <w:lang w:val="hu"/>
        </w:rPr>
        <w:t>z</w:t>
      </w:r>
      <w:r w:rsidR="008F021F">
        <w:rPr>
          <w:rFonts w:ascii="Myriad Pro" w:eastAsiaTheme="minorHAnsi" w:hAnsi="Myriad Pro"/>
          <w:lang w:val="hu"/>
        </w:rPr>
        <w:t xml:space="preserve"> </w:t>
      </w:r>
      <w:r w:rsidR="003D38FB">
        <w:rPr>
          <w:rFonts w:ascii="Myriad Pro" w:eastAsiaTheme="minorHAnsi" w:hAnsi="Myriad Pro"/>
          <w:lang w:val="hu"/>
        </w:rPr>
        <w:t>át</w:t>
      </w:r>
      <w:r w:rsidR="008F021F">
        <w:rPr>
          <w:rFonts w:ascii="Myriad Pro" w:eastAsiaTheme="minorHAnsi" w:hAnsi="Myriad Pro"/>
          <w:lang w:val="hu"/>
        </w:rPr>
        <w:t>költözés</w:t>
      </w:r>
      <w:r w:rsidR="003D38FB">
        <w:rPr>
          <w:rFonts w:ascii="Myriad Pro" w:eastAsiaTheme="minorHAnsi" w:hAnsi="Myriad Pro"/>
          <w:lang w:val="hu"/>
        </w:rPr>
        <w:t>ük</w:t>
      </w:r>
      <w:r w:rsidR="00225529">
        <w:rPr>
          <w:rFonts w:ascii="Myriad Pro" w:eastAsiaTheme="minorHAnsi" w:hAnsi="Myriad Pro"/>
          <w:lang w:val="hu"/>
        </w:rPr>
        <w:t xml:space="preserve"> során szerzett </w:t>
      </w:r>
      <w:r w:rsidR="008F021F">
        <w:rPr>
          <w:rFonts w:ascii="Myriad Pro" w:eastAsiaTheme="minorHAnsi" w:hAnsi="Myriad Pro"/>
          <w:lang w:val="hu"/>
        </w:rPr>
        <w:t>tapasztalataikból</w:t>
      </w:r>
      <w:r w:rsidR="003D38FB">
        <w:rPr>
          <w:rFonts w:ascii="Myriad Pro" w:eastAsiaTheme="minorHAnsi" w:hAnsi="Myriad Pro"/>
          <w:lang w:val="hu"/>
        </w:rPr>
        <w:t xml:space="preserve"> </w:t>
      </w:r>
      <w:r w:rsidR="00225529">
        <w:rPr>
          <w:rFonts w:ascii="Myriad Pro" w:eastAsiaTheme="minorHAnsi" w:hAnsi="Myriad Pro"/>
          <w:lang w:val="hu"/>
        </w:rPr>
        <w:t xml:space="preserve">– attól a pillanattól kezdve, hogy felismerik a költözés szükségességét, egészen addig, amíg </w:t>
      </w:r>
      <w:r w:rsidR="001F026F">
        <w:rPr>
          <w:rFonts w:ascii="Myriad Pro" w:eastAsiaTheme="minorHAnsi" w:hAnsi="Myriad Pro"/>
          <w:lang w:val="hu"/>
        </w:rPr>
        <w:t>be nem költöztek egy új</w:t>
      </w:r>
      <w:r w:rsidR="003D38FB">
        <w:rPr>
          <w:rFonts w:ascii="Myriad Pro" w:eastAsiaTheme="minorHAnsi" w:hAnsi="Myriad Pro"/>
          <w:lang w:val="hu"/>
        </w:rPr>
        <w:t xml:space="preserve"> irodába. </w:t>
      </w:r>
    </w:p>
    <w:p w14:paraId="4FBB2C7A" w14:textId="77777777" w:rsidR="00295B93" w:rsidRPr="00225529" w:rsidRDefault="00295B93" w:rsidP="00D50745">
      <w:pPr>
        <w:jc w:val="both"/>
        <w:rPr>
          <w:rFonts w:ascii="Myriad Pro" w:eastAsiaTheme="minorHAnsi" w:hAnsi="Myriad Pro" w:cs="Arial"/>
        </w:rPr>
      </w:pPr>
    </w:p>
    <w:p w14:paraId="5AA62607" w14:textId="77777777" w:rsidR="00D65B0C" w:rsidRPr="00DF3B15" w:rsidRDefault="008F021F" w:rsidP="00D65B0C">
      <w:pPr>
        <w:jc w:val="both"/>
        <w:rPr>
          <w:rFonts w:ascii="Myriad Pro" w:eastAsiaTheme="minorHAnsi" w:hAnsi="Myriad Pro"/>
          <w:lang w:val="hu-HU"/>
        </w:rPr>
      </w:pPr>
      <w:r w:rsidRPr="00DF3B15">
        <w:rPr>
          <w:rFonts w:ascii="Myriad Pro" w:eastAsiaTheme="minorHAnsi" w:hAnsi="Myriad Pro"/>
          <w:lang w:val="hu-HU"/>
        </w:rPr>
        <w:t>Emellett</w:t>
      </w:r>
      <w:r w:rsidR="003D38FB" w:rsidRPr="00DF3B15">
        <w:rPr>
          <w:rFonts w:ascii="Myriad Pro" w:eastAsiaTheme="minorHAnsi" w:hAnsi="Myriad Pro"/>
          <w:lang w:val="hu-HU"/>
        </w:rPr>
        <w:t>,</w:t>
      </w:r>
      <w:r w:rsidR="00D50745" w:rsidRPr="00DF3B15">
        <w:rPr>
          <w:rFonts w:ascii="Myriad Pro" w:eastAsiaTheme="minorHAnsi" w:hAnsi="Myriad Pro"/>
          <w:lang w:val="hu-HU"/>
        </w:rPr>
        <w:t xml:space="preserve"> egy saját fejlesztésű, nagyszabású </w:t>
      </w:r>
      <w:proofErr w:type="spellStart"/>
      <w:r w:rsidR="00D50745" w:rsidRPr="00DF3B15">
        <w:rPr>
          <w:rFonts w:ascii="Myriad Pro" w:eastAsiaTheme="minorHAnsi" w:hAnsi="Myriad Pro"/>
          <w:lang w:val="hu-HU"/>
        </w:rPr>
        <w:t>co-working</w:t>
      </w:r>
      <w:proofErr w:type="spellEnd"/>
      <w:r w:rsidR="00D50745" w:rsidRPr="00DF3B15">
        <w:rPr>
          <w:rFonts w:ascii="Myriad Pro" w:eastAsiaTheme="minorHAnsi" w:hAnsi="Myriad Pro"/>
          <w:lang w:val="hu-HU"/>
        </w:rPr>
        <w:t xml:space="preserve"> </w:t>
      </w:r>
      <w:r w:rsidRPr="00DF3B15">
        <w:rPr>
          <w:rFonts w:ascii="Myriad Pro" w:eastAsiaTheme="minorHAnsi" w:hAnsi="Myriad Pro"/>
          <w:lang w:val="hu-HU"/>
        </w:rPr>
        <w:t>iroda</w:t>
      </w:r>
      <w:r w:rsidR="003D38FB" w:rsidRPr="00DF3B15">
        <w:rPr>
          <w:rFonts w:ascii="Myriad Pro" w:eastAsiaTheme="minorHAnsi" w:hAnsi="Myriad Pro"/>
          <w:lang w:val="hu-HU"/>
        </w:rPr>
        <w:t xml:space="preserve">, a </w:t>
      </w:r>
      <w:proofErr w:type="spellStart"/>
      <w:r w:rsidR="003D38FB" w:rsidRPr="00DF3B15">
        <w:rPr>
          <w:rFonts w:ascii="Myriad Pro" w:eastAsiaTheme="minorHAnsi" w:hAnsi="Myriad Pro"/>
          <w:lang w:val="hu-HU"/>
        </w:rPr>
        <w:t>HubHub</w:t>
      </w:r>
      <w:proofErr w:type="spellEnd"/>
      <w:r w:rsidR="003D38FB" w:rsidRPr="00DF3B15">
        <w:rPr>
          <w:rFonts w:ascii="Myriad Pro" w:eastAsiaTheme="minorHAnsi" w:hAnsi="Myriad Pro"/>
          <w:lang w:val="hu-HU"/>
        </w:rPr>
        <w:t xml:space="preserve">, </w:t>
      </w:r>
      <w:r w:rsidR="00AE6EDD" w:rsidRPr="00DF3B15">
        <w:rPr>
          <w:rFonts w:ascii="Myriad Pro" w:eastAsiaTheme="minorHAnsi" w:hAnsi="Myriad Pro"/>
          <w:lang w:val="hu-HU"/>
        </w:rPr>
        <w:t>nyitja meg a kapuit 2017 folyamán Varsóban</w:t>
      </w:r>
      <w:r w:rsidRPr="00DF3B15">
        <w:rPr>
          <w:rFonts w:ascii="Myriad Pro" w:eastAsiaTheme="minorHAnsi" w:hAnsi="Myriad Pro"/>
          <w:lang w:val="hu-HU"/>
        </w:rPr>
        <w:t xml:space="preserve"> és Pozsonyban</w:t>
      </w:r>
      <w:r w:rsidR="00D50745" w:rsidRPr="00DF3B15">
        <w:rPr>
          <w:rFonts w:ascii="Myriad Pro" w:eastAsiaTheme="minorHAnsi" w:hAnsi="Myriad Pro"/>
          <w:lang w:val="hu-HU"/>
        </w:rPr>
        <w:t xml:space="preserve">, amelynek célja a szabadúszók és a </w:t>
      </w:r>
      <w:proofErr w:type="spellStart"/>
      <w:r w:rsidR="00D50745" w:rsidRPr="00DF3B15">
        <w:rPr>
          <w:rFonts w:ascii="Myriad Pro" w:eastAsiaTheme="minorHAnsi" w:hAnsi="Myriad Pro"/>
          <w:lang w:val="hu-HU"/>
        </w:rPr>
        <w:t>startup</w:t>
      </w:r>
      <w:proofErr w:type="spellEnd"/>
      <w:r w:rsidR="00D50745" w:rsidRPr="00DF3B15">
        <w:rPr>
          <w:rFonts w:ascii="Myriad Pro" w:eastAsiaTheme="minorHAnsi" w:hAnsi="Myriad Pro"/>
          <w:lang w:val="hu-HU"/>
        </w:rPr>
        <w:t xml:space="preserve"> vállalkozások kiszolgálása</w:t>
      </w:r>
      <w:r w:rsidR="00AE6EDD" w:rsidRPr="00DF3B15">
        <w:rPr>
          <w:rFonts w:ascii="Myriad Pro" w:eastAsiaTheme="minorHAnsi" w:hAnsi="Myriad Pro"/>
          <w:lang w:val="hu-HU"/>
        </w:rPr>
        <w:t>.</w:t>
      </w:r>
      <w:r w:rsidR="00D50745" w:rsidRPr="00DF3B15">
        <w:rPr>
          <w:rFonts w:ascii="Myriad Pro" w:eastAsiaTheme="minorHAnsi" w:hAnsi="Myriad Pro"/>
          <w:lang w:val="hu-HU"/>
        </w:rPr>
        <w:t xml:space="preserve"> </w:t>
      </w:r>
    </w:p>
    <w:p w14:paraId="330DAEFD" w14:textId="77777777" w:rsidR="008F021F" w:rsidRPr="00225529" w:rsidRDefault="008F021F" w:rsidP="00D65B0C">
      <w:pPr>
        <w:jc w:val="both"/>
        <w:rPr>
          <w:rFonts w:ascii="Myriad Pro" w:eastAsiaTheme="minorHAnsi" w:hAnsi="Myriad Pro" w:cs="Arial"/>
        </w:rPr>
      </w:pPr>
    </w:p>
    <w:p w14:paraId="2EFEEE96" w14:textId="77777777" w:rsidR="00D50745" w:rsidRDefault="00D50745" w:rsidP="00D50745">
      <w:pPr>
        <w:pStyle w:val="Nincstrkz"/>
        <w:jc w:val="both"/>
        <w:rPr>
          <w:rFonts w:ascii="Myriad Pro" w:hAnsi="Myriad Pro" w:cs="Arial"/>
          <w:sz w:val="24"/>
          <w:szCs w:val="24"/>
          <w:lang w:val="hu"/>
        </w:rPr>
      </w:pPr>
      <w:r>
        <w:rPr>
          <w:rFonts w:ascii="Myriad Pro" w:hAnsi="Myriad Pro" w:cs="Arial"/>
          <w:sz w:val="24"/>
          <w:szCs w:val="24"/>
          <w:lang w:val="hu"/>
        </w:rPr>
        <w:t>A HB Reavis egyúttal az első olyan közép-európai ingatlanfejlesztő cég, amely szeretné elérni, hogy a fejlesztési portfóliója WELL minősítést kapjon, azáltal, hogy az épített környezet révén az emberek egészségének javítására és jó</w:t>
      </w:r>
      <w:r w:rsidR="008F021F">
        <w:rPr>
          <w:rFonts w:ascii="Myriad Pro" w:hAnsi="Myriad Pro" w:cs="Arial"/>
          <w:sz w:val="24"/>
          <w:szCs w:val="24"/>
          <w:lang w:val="hu"/>
        </w:rPr>
        <w:t xml:space="preserve"> közérzetére</w:t>
      </w:r>
      <w:r>
        <w:rPr>
          <w:rFonts w:ascii="Myriad Pro" w:hAnsi="Myriad Pro" w:cs="Arial"/>
          <w:sz w:val="24"/>
          <w:szCs w:val="24"/>
          <w:lang w:val="hu"/>
        </w:rPr>
        <w:t xml:space="preserve"> összpontosít. </w:t>
      </w:r>
    </w:p>
    <w:p w14:paraId="0513BFB2" w14:textId="77777777" w:rsidR="008F021F" w:rsidRDefault="008F021F" w:rsidP="008F021F">
      <w:pPr>
        <w:pStyle w:val="Nincstrkz"/>
        <w:jc w:val="both"/>
        <w:rPr>
          <w:rFonts w:ascii="Myriad Pro" w:hAnsi="Myriad Pro" w:cs="Arial"/>
          <w:sz w:val="24"/>
          <w:szCs w:val="24"/>
          <w:lang w:val="hu"/>
        </w:rPr>
      </w:pPr>
    </w:p>
    <w:p w14:paraId="61ADC2EA" w14:textId="77777777" w:rsidR="00225529" w:rsidRPr="00225529" w:rsidRDefault="003D38FB" w:rsidP="00225529">
      <w:pPr>
        <w:pStyle w:val="Nincstrkz"/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  <w:lang w:val="hu"/>
        </w:rPr>
        <w:t>S</w:t>
      </w:r>
      <w:r w:rsidR="002F7B95" w:rsidRPr="00DF3B15">
        <w:rPr>
          <w:rFonts w:ascii="Myriad Pro" w:hAnsi="Myriad Pro" w:cs="Arial"/>
          <w:sz w:val="24"/>
          <w:szCs w:val="24"/>
          <w:lang w:val="hu"/>
        </w:rPr>
        <w:t>zámos tevékenység</w:t>
      </w:r>
      <w:r>
        <w:rPr>
          <w:rFonts w:ascii="Myriad Pro" w:hAnsi="Myriad Pro" w:cs="Arial"/>
          <w:sz w:val="24"/>
          <w:szCs w:val="24"/>
          <w:lang w:val="hu"/>
        </w:rPr>
        <w:t xml:space="preserve"> járult hozzá a vállalat azon </w:t>
      </w:r>
      <w:r w:rsidR="00303FB4" w:rsidRPr="00DF3B15">
        <w:rPr>
          <w:rFonts w:ascii="Myriad Pro" w:hAnsi="Myriad Pro" w:cs="Arial"/>
          <w:sz w:val="24"/>
          <w:szCs w:val="24"/>
          <w:lang w:val="hu"/>
        </w:rPr>
        <w:t>küldetés</w:t>
      </w:r>
      <w:r w:rsidR="00F34280">
        <w:rPr>
          <w:rFonts w:ascii="Myriad Pro" w:hAnsi="Myriad Pro" w:cs="Arial"/>
          <w:sz w:val="24"/>
          <w:szCs w:val="24"/>
          <w:lang w:val="hu"/>
        </w:rPr>
        <w:t>é</w:t>
      </w:r>
      <w:r>
        <w:rPr>
          <w:rFonts w:ascii="Myriad Pro" w:hAnsi="Myriad Pro" w:cs="Arial"/>
          <w:sz w:val="24"/>
          <w:szCs w:val="24"/>
          <w:lang w:val="hu"/>
        </w:rPr>
        <w:t xml:space="preserve">hez, </w:t>
      </w:r>
      <w:r w:rsidR="00303FB4" w:rsidRPr="00DF3B15">
        <w:rPr>
          <w:rFonts w:ascii="Myriad Pro" w:hAnsi="Myriad Pro" w:cs="Arial"/>
          <w:sz w:val="24"/>
          <w:szCs w:val="24"/>
          <w:lang w:val="hu"/>
        </w:rPr>
        <w:t>hogy az egyik legvonzóbb munkáltatóvá váljon:</w:t>
      </w:r>
      <w:r w:rsidR="002F7B95" w:rsidRPr="003D38FB">
        <w:rPr>
          <w:rFonts w:ascii="Myriad Pro" w:hAnsi="Myriad Pro" w:cs="Arial"/>
          <w:sz w:val="24"/>
          <w:szCs w:val="24"/>
          <w:lang w:val="hu"/>
        </w:rPr>
        <w:t xml:space="preserve"> </w:t>
      </w:r>
      <w:r w:rsidR="00303FB4" w:rsidRPr="003D38FB">
        <w:rPr>
          <w:rFonts w:ascii="Myriad Pro" w:hAnsi="Myriad Pro" w:cs="Arial"/>
          <w:sz w:val="24"/>
          <w:szCs w:val="24"/>
          <w:lang w:val="hu"/>
        </w:rPr>
        <w:t>Lengyelországban az AON Hewitt a „2016 Legjobb Munkahelye” címmel tüntette ki a HB Reavist.</w:t>
      </w:r>
    </w:p>
    <w:p w14:paraId="621B6E23" w14:textId="77777777" w:rsidR="00225529" w:rsidRDefault="00225529" w:rsidP="0018302A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cs="Arial"/>
        </w:rPr>
      </w:pPr>
    </w:p>
    <w:p w14:paraId="515D1A77" w14:textId="77777777" w:rsidR="00B45BCD" w:rsidRPr="009C46FD" w:rsidRDefault="00C31D10" w:rsidP="0018302A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cs="MyriadPro-LightCond"/>
          <w:i/>
          <w:color w:val="1D1D1B"/>
        </w:rPr>
      </w:pPr>
      <w:r>
        <w:rPr>
          <w:rFonts w:ascii="Myriad Pro" w:hAnsi="Myriad Pro"/>
          <w:lang w:val="hu"/>
        </w:rPr>
        <w:t>Pavel Trenka, a HB Reavis csoport vezérigazgatója</w:t>
      </w:r>
      <w:r w:rsidR="00E5750E">
        <w:rPr>
          <w:rFonts w:ascii="Myriad Pro" w:hAnsi="Myriad Pro"/>
          <w:lang w:val="hu"/>
        </w:rPr>
        <w:t xml:space="preserve"> elmondta</w:t>
      </w:r>
      <w:r>
        <w:rPr>
          <w:rFonts w:ascii="Myriad Pro" w:hAnsi="Myriad Pro"/>
          <w:lang w:val="hu"/>
        </w:rPr>
        <w:t xml:space="preserve">: </w:t>
      </w:r>
      <w:r>
        <w:rPr>
          <w:rFonts w:ascii="Myriad Pro" w:hAnsi="Myriad Pro"/>
          <w:i/>
          <w:iCs/>
          <w:color w:val="1D1D1B"/>
          <w:lang w:val="hu"/>
        </w:rPr>
        <w:t>„A 2016-os eredménye</w:t>
      </w:r>
      <w:r w:rsidR="008F021F">
        <w:rPr>
          <w:rFonts w:ascii="Myriad Pro" w:hAnsi="Myriad Pro"/>
          <w:i/>
          <w:iCs/>
          <w:color w:val="1D1D1B"/>
          <w:lang w:val="hu"/>
        </w:rPr>
        <w:t>ink</w:t>
      </w:r>
      <w:r>
        <w:rPr>
          <w:rFonts w:ascii="Myriad Pro" w:hAnsi="Myriad Pro"/>
          <w:i/>
          <w:iCs/>
          <w:color w:val="1D1D1B"/>
          <w:lang w:val="hu"/>
        </w:rPr>
        <w:t xml:space="preserve"> megerősítik, hogy a </w:t>
      </w:r>
      <w:r w:rsidR="00230DCE">
        <w:rPr>
          <w:rFonts w:ascii="Myriad Pro" w:hAnsi="Myriad Pro"/>
          <w:i/>
          <w:iCs/>
          <w:color w:val="1D1D1B"/>
          <w:lang w:val="hu"/>
        </w:rPr>
        <w:t>pán-európai</w:t>
      </w:r>
      <w:r>
        <w:rPr>
          <w:rFonts w:ascii="Myriad Pro" w:hAnsi="Myriad Pro"/>
          <w:i/>
          <w:iCs/>
          <w:color w:val="1D1D1B"/>
          <w:lang w:val="hu"/>
        </w:rPr>
        <w:t xml:space="preserve"> jelenlétünk és az integrált szolgáltatási modellünk rugalmasnak bizonyult az ingatlanpiacot érintő politikai bizonytalanságok ellenére.</w:t>
      </w:r>
      <w:r>
        <w:rPr>
          <w:rFonts w:ascii="Myriad Pro" w:hAnsi="Myriad Pro"/>
          <w:color w:val="1D1D1B"/>
          <w:lang w:val="hu"/>
        </w:rPr>
        <w:t xml:space="preserve"> </w:t>
      </w:r>
      <w:r>
        <w:rPr>
          <w:rFonts w:ascii="Myriad Pro" w:hAnsi="Myriad Pro"/>
          <w:i/>
          <w:iCs/>
          <w:color w:val="1D1D1B"/>
          <w:lang w:val="hu"/>
        </w:rPr>
        <w:t>Csapatunk kiváló teljesítményének köszönhetően eddigi történetünk legnagyobb kereskedelmi területét (</w:t>
      </w:r>
      <w:r w:rsidR="00230DCE">
        <w:rPr>
          <w:rFonts w:ascii="Myriad Pro" w:hAnsi="Myriad Pro"/>
          <w:i/>
          <w:iCs/>
          <w:color w:val="1D1D1B"/>
          <w:lang w:val="hu"/>
        </w:rPr>
        <w:t xml:space="preserve">közel </w:t>
      </w:r>
      <w:r>
        <w:rPr>
          <w:rFonts w:ascii="Myriad Pro" w:hAnsi="Myriad Pro"/>
          <w:i/>
          <w:iCs/>
          <w:color w:val="1D1D1B"/>
          <w:lang w:val="hu"/>
        </w:rPr>
        <w:t>137</w:t>
      </w:r>
      <w:r w:rsidR="00E5750E">
        <w:rPr>
          <w:rFonts w:ascii="Myriad Pro" w:hAnsi="Myriad Pro"/>
          <w:i/>
          <w:iCs/>
          <w:color w:val="1D1D1B"/>
          <w:lang w:val="hu"/>
        </w:rPr>
        <w:t xml:space="preserve"> </w:t>
      </w:r>
      <w:r w:rsidR="008F021F">
        <w:rPr>
          <w:rFonts w:ascii="Myriad Pro" w:hAnsi="Myriad Pro"/>
          <w:i/>
          <w:iCs/>
          <w:color w:val="1D1D1B"/>
          <w:lang w:val="hu"/>
        </w:rPr>
        <w:t>0</w:t>
      </w:r>
      <w:r>
        <w:rPr>
          <w:rFonts w:ascii="Myriad Pro" w:hAnsi="Myriad Pro"/>
          <w:i/>
          <w:iCs/>
          <w:color w:val="1D1D1B"/>
          <w:lang w:val="hu"/>
        </w:rPr>
        <w:t>00 m</w:t>
      </w:r>
      <w:r>
        <w:rPr>
          <w:rFonts w:ascii="Myriad Pro" w:hAnsi="Myriad Pro"/>
          <w:i/>
          <w:iCs/>
          <w:color w:val="1D1D1B"/>
          <w:vertAlign w:val="superscript"/>
          <w:lang w:val="hu"/>
        </w:rPr>
        <w:t>2</w:t>
      </w:r>
      <w:r>
        <w:rPr>
          <w:rFonts w:ascii="Myriad Pro" w:hAnsi="Myriad Pro"/>
          <w:i/>
          <w:iCs/>
          <w:color w:val="1D1D1B"/>
          <w:lang w:val="hu"/>
        </w:rPr>
        <w:t xml:space="preserve">) adtuk át. </w:t>
      </w:r>
      <w:r w:rsidR="001E7967">
        <w:rPr>
          <w:rFonts w:ascii="Myriad Pro" w:hAnsi="Myriad Pro"/>
          <w:i/>
          <w:iCs/>
          <w:color w:val="1D1D1B"/>
          <w:lang w:val="hu"/>
        </w:rPr>
        <w:t>Fejlesztéseink</w:t>
      </w:r>
      <w:r>
        <w:rPr>
          <w:rFonts w:ascii="Myriad Pro" w:hAnsi="Myriad Pro"/>
          <w:i/>
          <w:iCs/>
          <w:color w:val="1D1D1B"/>
          <w:lang w:val="hu"/>
        </w:rPr>
        <w:t xml:space="preserve"> minőségének végső bizonyítékát azok a kiemelkedő szervezetek és globális márkák jelentik, amelyek úgy döntöttek, hogy jelentős összegeket ruháznak be az épületeinkbe. </w:t>
      </w:r>
      <w:r w:rsidR="00CE41AB">
        <w:rPr>
          <w:rFonts w:ascii="Myriad Pro" w:hAnsi="Myriad Pro"/>
          <w:i/>
          <w:iCs/>
          <w:color w:val="1D1D1B"/>
          <w:lang w:val="hu"/>
        </w:rPr>
        <w:t>Stabil</w:t>
      </w:r>
      <w:r>
        <w:rPr>
          <w:rFonts w:ascii="Myriad Pro" w:hAnsi="Myriad Pro"/>
          <w:i/>
          <w:iCs/>
          <w:color w:val="1D1D1B"/>
          <w:lang w:val="hu"/>
        </w:rPr>
        <w:t xml:space="preserve"> bérbeadási </w:t>
      </w:r>
      <w:r>
        <w:rPr>
          <w:rFonts w:ascii="Myriad Pro" w:hAnsi="Myriad Pro"/>
          <w:i/>
          <w:iCs/>
          <w:color w:val="1D1D1B"/>
          <w:lang w:val="hu"/>
        </w:rPr>
        <w:lastRenderedPageBreak/>
        <w:t xml:space="preserve">teljesítményünk eredményeként tavaly közel 10 000 </w:t>
      </w:r>
      <w:r w:rsidR="001E7967">
        <w:rPr>
          <w:rFonts w:ascii="Myriad Pro" w:hAnsi="Myriad Pro"/>
          <w:i/>
          <w:iCs/>
          <w:color w:val="1D1D1B"/>
          <w:lang w:val="hu"/>
        </w:rPr>
        <w:t xml:space="preserve">munkavállaló </w:t>
      </w:r>
      <w:r>
        <w:rPr>
          <w:rFonts w:ascii="Myriad Pro" w:hAnsi="Myriad Pro"/>
          <w:i/>
          <w:iCs/>
          <w:color w:val="1D1D1B"/>
          <w:lang w:val="hu"/>
        </w:rPr>
        <w:t xml:space="preserve">lelt „új otthonra” valamelyik HB Reavis-épületben. A csoport körülbelül 17,4%-os </w:t>
      </w:r>
      <w:r w:rsidRPr="00230DCE">
        <w:rPr>
          <w:rFonts w:ascii="Myriad Pro" w:hAnsi="Myriad Pro"/>
          <w:i/>
          <w:iCs/>
          <w:color w:val="1D1D1B"/>
          <w:lang w:val="hu"/>
        </w:rPr>
        <w:t>nettó tőkeáttételével</w:t>
      </w:r>
      <w:r>
        <w:rPr>
          <w:rFonts w:ascii="Myriad Pro" w:hAnsi="Myriad Pro"/>
          <w:i/>
          <w:iCs/>
          <w:color w:val="1D1D1B"/>
          <w:lang w:val="hu"/>
        </w:rPr>
        <w:t xml:space="preserve"> a HB Reavis rendkívül erős pénzügyi helyzetben kezdte az új</w:t>
      </w:r>
      <w:r w:rsidR="00CE41AB">
        <w:rPr>
          <w:rFonts w:ascii="Myriad Pro" w:hAnsi="Myriad Pro"/>
          <w:i/>
          <w:iCs/>
          <w:color w:val="1D1D1B"/>
          <w:lang w:val="hu"/>
        </w:rPr>
        <w:t xml:space="preserve"> évet</w:t>
      </w:r>
      <w:r>
        <w:rPr>
          <w:rFonts w:ascii="Myriad Pro" w:hAnsi="Myriad Pro"/>
          <w:i/>
          <w:iCs/>
          <w:color w:val="1D1D1B"/>
          <w:lang w:val="hu"/>
        </w:rPr>
        <w:t xml:space="preserve">. A csapat </w:t>
      </w:r>
      <w:r w:rsidR="006A468A">
        <w:rPr>
          <w:rFonts w:ascii="Myriad Pro" w:hAnsi="Myriad Pro"/>
          <w:i/>
          <w:iCs/>
          <w:color w:val="1D1D1B"/>
          <w:lang w:val="hu"/>
        </w:rPr>
        <w:t xml:space="preserve">izgatottan </w:t>
      </w:r>
      <w:r>
        <w:rPr>
          <w:rFonts w:ascii="Myriad Pro" w:hAnsi="Myriad Pro"/>
          <w:i/>
          <w:iCs/>
          <w:color w:val="1D1D1B"/>
          <w:lang w:val="hu"/>
        </w:rPr>
        <w:t xml:space="preserve">várja, hogy </w:t>
      </w:r>
      <w:r w:rsidR="001E7967">
        <w:rPr>
          <w:rFonts w:ascii="Myriad Pro" w:hAnsi="Myriad Pro"/>
          <w:i/>
          <w:iCs/>
          <w:color w:val="1D1D1B"/>
          <w:lang w:val="hu"/>
        </w:rPr>
        <w:t xml:space="preserve">tovább dolgozhasson </w:t>
      </w:r>
      <w:r w:rsidR="00230DCE">
        <w:rPr>
          <w:rFonts w:ascii="Myriad Pro" w:hAnsi="Myriad Pro"/>
          <w:i/>
          <w:iCs/>
          <w:color w:val="1D1D1B"/>
          <w:lang w:val="hu"/>
        </w:rPr>
        <w:t>nagyléptékű</w:t>
      </w:r>
      <w:r w:rsidR="001E7967">
        <w:rPr>
          <w:rFonts w:ascii="Myriad Pro" w:hAnsi="Myriad Pro"/>
          <w:i/>
          <w:iCs/>
          <w:color w:val="1D1D1B"/>
          <w:lang w:val="hu"/>
        </w:rPr>
        <w:t xml:space="preserve"> fejlesztéseinken </w:t>
      </w:r>
      <w:r>
        <w:rPr>
          <w:rFonts w:ascii="Myriad Pro" w:hAnsi="Myriad Pro"/>
          <w:i/>
          <w:iCs/>
          <w:color w:val="1D1D1B"/>
          <w:lang w:val="hu"/>
        </w:rPr>
        <w:t>Varsóban (Varso Place), Budapesten (Agora) és Pozsonyban (</w:t>
      </w:r>
      <w:r w:rsidR="001E7967">
        <w:rPr>
          <w:rFonts w:ascii="Myriad Pro" w:hAnsi="Myriad Pro"/>
          <w:i/>
          <w:iCs/>
          <w:color w:val="1D1D1B"/>
          <w:lang w:val="hu"/>
        </w:rPr>
        <w:t>Stanica Nivy</w:t>
      </w:r>
      <w:r>
        <w:rPr>
          <w:rFonts w:ascii="Myriad Pro" w:hAnsi="Myriad Pro"/>
          <w:i/>
          <w:iCs/>
          <w:color w:val="1D1D1B"/>
          <w:lang w:val="hu"/>
        </w:rPr>
        <w:t>).”</w:t>
      </w:r>
      <w:r>
        <w:rPr>
          <w:lang w:val="hu"/>
        </w:rPr>
        <w:t xml:space="preserve"> </w:t>
      </w:r>
    </w:p>
    <w:p w14:paraId="7BCD3AB1" w14:textId="77777777" w:rsidR="008F021F" w:rsidRDefault="008F021F" w:rsidP="00225529">
      <w:pPr>
        <w:spacing w:line="276" w:lineRule="auto"/>
        <w:rPr>
          <w:rFonts w:ascii="Arial" w:hAnsi="Arial" w:cs="Arial"/>
        </w:rPr>
      </w:pPr>
    </w:p>
    <w:p w14:paraId="0B5194FC" w14:textId="77777777" w:rsidR="00230DCE" w:rsidRDefault="00230DCE" w:rsidP="00225529">
      <w:pPr>
        <w:spacing w:line="276" w:lineRule="auto"/>
        <w:rPr>
          <w:rFonts w:ascii="Arial" w:hAnsi="Arial" w:cs="Arial"/>
        </w:rPr>
      </w:pPr>
    </w:p>
    <w:p w14:paraId="53CD449D" w14:textId="77777777" w:rsidR="00DF3B15" w:rsidRPr="00183FC2" w:rsidRDefault="00DF3B15" w:rsidP="00DF3B15">
      <w:pPr>
        <w:rPr>
          <w:rFonts w:ascii="Arial" w:hAnsi="Arial" w:cs="Arial"/>
          <w:sz w:val="20"/>
          <w:szCs w:val="20"/>
          <w:lang w:val="hu-HU"/>
        </w:rPr>
      </w:pPr>
      <w:r w:rsidRPr="00992C74">
        <w:rPr>
          <w:rFonts w:ascii="Myriad Pro" w:hAnsi="Myriad Pro" w:cs="Arial"/>
          <w:b/>
          <w:sz w:val="20"/>
          <w:szCs w:val="20"/>
          <w:lang w:val="hu-HU"/>
        </w:rPr>
        <w:t>A HB Reavis Csoportról</w:t>
      </w:r>
    </w:p>
    <w:p w14:paraId="04CE164D" w14:textId="77777777" w:rsidR="00DF3B15" w:rsidRPr="00183FC2" w:rsidRDefault="00DF3B15" w:rsidP="00DF3B15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A HB Reavis ingatlanfejlesztéssel foglalkozó nemzetközi csoport, amelyet 1993-ban alapítottak Pozsonyban. Tevékenységi köre az Egyesült Királyságra, Lengyelországra, Csehországra, Szlovákiára, Magyarországra és Törökországra terjed ki. Jelenleg a harmadik legnagyobb irodafejlesztő a </w:t>
      </w:r>
      <w:proofErr w:type="spellStart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PropertyEU</w:t>
      </w:r>
      <w:proofErr w:type="spellEnd"/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éves legjobb ingatlanfejlesztők listája alapján. </w:t>
      </w:r>
    </w:p>
    <w:p w14:paraId="713A4496" w14:textId="77777777" w:rsidR="00DF3B15" w:rsidRPr="00183FC2" w:rsidRDefault="00DF3B15" w:rsidP="00DF3B15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>Európában A vállalat által eddig felépített korszerű irodaépületek, bevásárló- és szórakoztatóközpontok, valamint logisztikai létesítmények összesített alapterülete mintegy 993 000 négyzetmétert tesz ki, emellett több mint 1 millió négyzetméternyi fejlesztés már a tervezési, engedélyezési vagy építési fázisban van.</w:t>
      </w:r>
    </w:p>
    <w:p w14:paraId="63662CAB" w14:textId="77777777" w:rsidR="00DF3B15" w:rsidRPr="00183FC2" w:rsidRDefault="00DF3B15" w:rsidP="00DF3B15">
      <w:pPr>
        <w:spacing w:line="276" w:lineRule="auto"/>
        <w:jc w:val="both"/>
        <w:rPr>
          <w:rFonts w:ascii="Myriad Pro" w:hAnsi="Myriad Pro" w:cs="Arial"/>
          <w:color w:val="000000"/>
          <w:sz w:val="20"/>
          <w:szCs w:val="20"/>
          <w:lang w:val="hu-HU" w:eastAsia="zh-CN"/>
        </w:rPr>
      </w:pPr>
      <w:r w:rsidRPr="00183FC2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A HB Reavis teljes körűen integrált üzleti modell alapján végzi tevékenységét, amely a fejlesztést, az építést, az ingatlankezelést és a beruházáskezelést egyaránt magában foglalja. A csoport mérlegfőösszege 2,1 milliárd euró, eszközeinek nettó értéke pedig csaknem 1,2 milliárd euró. A több mint 500 szakemberrel rendelkező HB Reavis globális piacvezető a nemzetközi kereskedelmi ingatlanfejlesztési piacon. </w:t>
      </w:r>
    </w:p>
    <w:p w14:paraId="61CC97D3" w14:textId="77777777" w:rsidR="00DF3B15" w:rsidRPr="00DF3B15" w:rsidRDefault="00DF3B15" w:rsidP="00DF3B15">
      <w:pPr>
        <w:spacing w:line="276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A HB Reavis erős piaci pozícióját számos díj és elismerés támasztja alá, többek között a 33 </w:t>
      </w:r>
      <w:proofErr w:type="spellStart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Central</w:t>
      </w:r>
      <w:proofErr w:type="spellEnd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projektért kiérdemelt „London legjobb irodaépülete 2015” díj, valamint a CEE </w:t>
      </w:r>
      <w:proofErr w:type="spellStart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Quality</w:t>
      </w:r>
      <w:proofErr w:type="spellEnd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</w:t>
      </w:r>
      <w:proofErr w:type="spellStart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Award</w:t>
      </w:r>
      <w:proofErr w:type="spellEnd"/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elismerése „Az év fejlesztője 201</w:t>
      </w:r>
      <w:r>
        <w:rPr>
          <w:rFonts w:ascii="Myriad Pro" w:hAnsi="Myriad Pro" w:cs="Arial"/>
          <w:color w:val="000000"/>
          <w:sz w:val="20"/>
          <w:szCs w:val="20"/>
          <w:lang w:val="hu-HU" w:eastAsia="zh-CN"/>
        </w:rPr>
        <w:t>7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-ben” kategóriában. Bővebb információért látogasson el a</w:t>
      </w:r>
      <w:r>
        <w:rPr>
          <w:rFonts w:ascii="Myriad Pro" w:hAnsi="Myriad Pro" w:cs="Arial"/>
          <w:color w:val="000000"/>
          <w:sz w:val="20"/>
          <w:szCs w:val="20"/>
          <w:lang w:val="hu-HU" w:eastAsia="zh-CN"/>
        </w:rPr>
        <w:t xml:space="preserve"> </w:t>
      </w:r>
      <w:hyperlink r:id="rId8" w:history="1">
        <w:r w:rsidRPr="00075917">
          <w:rPr>
            <w:rStyle w:val="Hiperhivatkozs"/>
            <w:rFonts w:ascii="Myriad Pro" w:hAnsi="Myriad Pro" w:cs="Arial"/>
            <w:sz w:val="20"/>
            <w:szCs w:val="20"/>
            <w:lang w:val="hu-HU" w:eastAsia="zh-CN"/>
          </w:rPr>
          <w:t>https://hbreavis.com/hu/</w:t>
        </w:r>
      </w:hyperlink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366DFB">
        <w:rPr>
          <w:rFonts w:ascii="Myriad Pro" w:hAnsi="Myriad Pro" w:cs="Arial"/>
          <w:color w:val="000000"/>
          <w:sz w:val="20"/>
          <w:szCs w:val="20"/>
          <w:lang w:val="hu-HU" w:eastAsia="zh-CN"/>
        </w:rPr>
        <w:t>weboldalra!</w:t>
      </w:r>
    </w:p>
    <w:sectPr w:rsidR="00DF3B15" w:rsidRPr="00DF3B15" w:rsidSect="00DF22C8">
      <w:headerReference w:type="default" r:id="rId9"/>
      <w:footerReference w:type="default" r:id="rId10"/>
      <w:pgSz w:w="11900" w:h="16840"/>
      <w:pgMar w:top="1985" w:right="964" w:bottom="1701" w:left="9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5CA3" w14:textId="77777777" w:rsidR="00ED4C60" w:rsidRDefault="00ED4C60">
      <w:r>
        <w:separator/>
      </w:r>
    </w:p>
  </w:endnote>
  <w:endnote w:type="continuationSeparator" w:id="0">
    <w:p w14:paraId="2AD78F6A" w14:textId="77777777" w:rsidR="00ED4C60" w:rsidRDefault="00ED4C60">
      <w:r>
        <w:continuationSeparator/>
      </w:r>
    </w:p>
  </w:endnote>
  <w:endnote w:type="continuationNotice" w:id="1">
    <w:p w14:paraId="309842C4" w14:textId="77777777" w:rsidR="00ED4C60" w:rsidRDefault="00ED4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MyriadPro-LightCon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1C25" w14:textId="77777777" w:rsidR="00403464" w:rsidRDefault="00403464" w:rsidP="00DF22C8">
    <w:pPr>
      <w:pStyle w:val="llb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AB962" w14:textId="77777777" w:rsidR="00ED4C60" w:rsidRDefault="00ED4C60">
      <w:r>
        <w:separator/>
      </w:r>
    </w:p>
  </w:footnote>
  <w:footnote w:type="continuationSeparator" w:id="0">
    <w:p w14:paraId="48DFFFBD" w14:textId="77777777" w:rsidR="00ED4C60" w:rsidRDefault="00ED4C60">
      <w:r>
        <w:continuationSeparator/>
      </w:r>
    </w:p>
  </w:footnote>
  <w:footnote w:type="continuationNotice" w:id="1">
    <w:p w14:paraId="6ED326C1" w14:textId="77777777" w:rsidR="00ED4C60" w:rsidRDefault="00ED4C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F403" w14:textId="77777777" w:rsidR="00403464" w:rsidRDefault="00403464" w:rsidP="00DF22C8">
    <w:pPr>
      <w:pStyle w:val="lfej"/>
      <w:ind w:right="35"/>
    </w:pPr>
  </w:p>
  <w:p w14:paraId="7F1FC9F6" w14:textId="77777777" w:rsidR="00403464" w:rsidRDefault="00403464" w:rsidP="00DF22C8">
    <w:pPr>
      <w:pStyle w:val="lfej"/>
      <w:ind w:right="35"/>
    </w:pPr>
  </w:p>
  <w:p w14:paraId="0193EF63" w14:textId="77777777" w:rsidR="00403464" w:rsidRDefault="00403464" w:rsidP="00DF22C8">
    <w:pPr>
      <w:pStyle w:val="lfej"/>
      <w:ind w:right="35"/>
    </w:pPr>
  </w:p>
  <w:p w14:paraId="23536223" w14:textId="77777777" w:rsidR="00403464" w:rsidRDefault="00403464" w:rsidP="00DF22C8">
    <w:pPr>
      <w:pStyle w:val="lfej"/>
      <w:ind w:right="35"/>
    </w:pPr>
    <w:r>
      <w:rPr>
        <w:noProof/>
        <w:lang w:val="hu-HU" w:eastAsia="hu-HU"/>
      </w:rPr>
      <w:drawing>
        <wp:inline distT="0" distB="0" distL="0" distR="0" wp14:anchorId="001C4166" wp14:editId="5705A511">
          <wp:extent cx="1857375" cy="447675"/>
          <wp:effectExtent l="0" t="0" r="9525" b="9525"/>
          <wp:docPr id="1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8A2E5" w14:textId="77777777" w:rsidR="00403464" w:rsidRDefault="00403464" w:rsidP="00DF22C8">
    <w:pPr>
      <w:pStyle w:val="lfej"/>
      <w:ind w:right="35"/>
    </w:pPr>
  </w:p>
  <w:p w14:paraId="07BE09CB" w14:textId="77777777" w:rsidR="00403464" w:rsidRDefault="00ED4C60" w:rsidP="00DF22C8">
    <w:pPr>
      <w:pStyle w:val="lfej"/>
      <w:ind w:right="35"/>
    </w:pPr>
    <w:r>
      <w:rPr>
        <w:noProof/>
        <w:lang w:val="hu"/>
      </w:rPr>
      <w:pict w14:anchorId="0E9A742B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margin-left:0;margin-top:0;width:19.85pt;height:21pt;z-index:251658240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" stroked="f">
          <v:textbox style="mso-fit-shape-to-text:t">
            <w:txbxContent>
              <w:p w14:paraId="56674234" w14:textId="77777777" w:rsidR="00403464" w:rsidRDefault="0040346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512"/>
    <w:multiLevelType w:val="hybridMultilevel"/>
    <w:tmpl w:val="BF34B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BA753B"/>
    <w:multiLevelType w:val="hybridMultilevel"/>
    <w:tmpl w:val="9ADA1F78"/>
    <w:lvl w:ilvl="0" w:tplc="C9EE5822">
      <w:start w:val="3"/>
      <w:numFmt w:val="bullet"/>
      <w:lvlText w:val="-"/>
      <w:lvlJc w:val="left"/>
      <w:pPr>
        <w:ind w:left="720" w:hanging="360"/>
      </w:pPr>
      <w:rPr>
        <w:rFonts w:ascii="Myriad Pro" w:eastAsia="MS Mincho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A5"/>
    <w:multiLevelType w:val="hybridMultilevel"/>
    <w:tmpl w:val="EBB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761F"/>
    <w:multiLevelType w:val="hybridMultilevel"/>
    <w:tmpl w:val="A64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BA70D0"/>
    <w:multiLevelType w:val="hybridMultilevel"/>
    <w:tmpl w:val="D8D88CA0"/>
    <w:lvl w:ilvl="0" w:tplc="F2AE9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6E9B"/>
    <w:multiLevelType w:val="hybridMultilevel"/>
    <w:tmpl w:val="502E8B98"/>
    <w:lvl w:ilvl="0" w:tplc="19983D7A">
      <w:start w:val="1"/>
      <w:numFmt w:val="decimal"/>
      <w:lvlText w:val="%1."/>
      <w:lvlJc w:val="left"/>
      <w:pPr>
        <w:ind w:left="1080" w:hanging="72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4C00"/>
    <w:multiLevelType w:val="hybridMultilevel"/>
    <w:tmpl w:val="BE3C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59EF"/>
    <w:multiLevelType w:val="hybridMultilevel"/>
    <w:tmpl w:val="14602740"/>
    <w:lvl w:ilvl="0" w:tplc="DAC41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54E20"/>
    <w:multiLevelType w:val="hybridMultilevel"/>
    <w:tmpl w:val="DDF0D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74483"/>
    <w:multiLevelType w:val="hybridMultilevel"/>
    <w:tmpl w:val="E316677C"/>
    <w:lvl w:ilvl="0" w:tplc="873A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0675"/>
    <w:multiLevelType w:val="hybridMultilevel"/>
    <w:tmpl w:val="3958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237C3"/>
    <w:multiLevelType w:val="hybridMultilevel"/>
    <w:tmpl w:val="D14A8292"/>
    <w:lvl w:ilvl="0" w:tplc="040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2" w15:restartNumberingAfterBreak="0">
    <w:nsid w:val="77BE7D0C"/>
    <w:multiLevelType w:val="hybridMultilevel"/>
    <w:tmpl w:val="C748961C"/>
    <w:lvl w:ilvl="0" w:tplc="08090001">
      <w:start w:val="1"/>
      <w:numFmt w:val="bullet"/>
      <w:lvlText w:val=""/>
      <w:lvlJc w:val="left"/>
      <w:pPr>
        <w:ind w:left="-14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13" w15:restartNumberingAfterBreak="0">
    <w:nsid w:val="7D8A76B4"/>
    <w:multiLevelType w:val="hybridMultilevel"/>
    <w:tmpl w:val="9450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4"/>
    <w:rsid w:val="00000FA0"/>
    <w:rsid w:val="0000341F"/>
    <w:rsid w:val="00020345"/>
    <w:rsid w:val="000459A2"/>
    <w:rsid w:val="000601F4"/>
    <w:rsid w:val="000641E0"/>
    <w:rsid w:val="00066AAE"/>
    <w:rsid w:val="000673F2"/>
    <w:rsid w:val="000704DC"/>
    <w:rsid w:val="0007407A"/>
    <w:rsid w:val="00086D38"/>
    <w:rsid w:val="0009066D"/>
    <w:rsid w:val="00093FDE"/>
    <w:rsid w:val="00095BAE"/>
    <w:rsid w:val="000A2026"/>
    <w:rsid w:val="000B365E"/>
    <w:rsid w:val="000B4B33"/>
    <w:rsid w:val="000B5072"/>
    <w:rsid w:val="000B6BEA"/>
    <w:rsid w:val="000C142D"/>
    <w:rsid w:val="000C7C8E"/>
    <w:rsid w:val="000D3558"/>
    <w:rsid w:val="000D4DB2"/>
    <w:rsid w:val="000F5D08"/>
    <w:rsid w:val="00120514"/>
    <w:rsid w:val="00120BE3"/>
    <w:rsid w:val="00120C7D"/>
    <w:rsid w:val="00145B2E"/>
    <w:rsid w:val="00160924"/>
    <w:rsid w:val="00162892"/>
    <w:rsid w:val="00163AD2"/>
    <w:rsid w:val="001656FC"/>
    <w:rsid w:val="001670ED"/>
    <w:rsid w:val="0017243C"/>
    <w:rsid w:val="00173160"/>
    <w:rsid w:val="00175479"/>
    <w:rsid w:val="00182F00"/>
    <w:rsid w:val="0018302A"/>
    <w:rsid w:val="001909E4"/>
    <w:rsid w:val="001A02AF"/>
    <w:rsid w:val="001A3FB5"/>
    <w:rsid w:val="001B7FD3"/>
    <w:rsid w:val="001C0605"/>
    <w:rsid w:val="001C29CD"/>
    <w:rsid w:val="001C3582"/>
    <w:rsid w:val="001C728D"/>
    <w:rsid w:val="001D1FE2"/>
    <w:rsid w:val="001E2268"/>
    <w:rsid w:val="001E7967"/>
    <w:rsid w:val="001F026F"/>
    <w:rsid w:val="001F0FE1"/>
    <w:rsid w:val="001F7171"/>
    <w:rsid w:val="001F7C05"/>
    <w:rsid w:val="00201D2F"/>
    <w:rsid w:val="00203748"/>
    <w:rsid w:val="00207C67"/>
    <w:rsid w:val="00222394"/>
    <w:rsid w:val="0022392F"/>
    <w:rsid w:val="00225529"/>
    <w:rsid w:val="00225E37"/>
    <w:rsid w:val="00230DCE"/>
    <w:rsid w:val="00236EAD"/>
    <w:rsid w:val="00241066"/>
    <w:rsid w:val="0026376B"/>
    <w:rsid w:val="00277428"/>
    <w:rsid w:val="002831FA"/>
    <w:rsid w:val="0028646B"/>
    <w:rsid w:val="00286553"/>
    <w:rsid w:val="00286DF8"/>
    <w:rsid w:val="00295B93"/>
    <w:rsid w:val="00295DED"/>
    <w:rsid w:val="002A063B"/>
    <w:rsid w:val="002A312B"/>
    <w:rsid w:val="002B38D6"/>
    <w:rsid w:val="002D25B6"/>
    <w:rsid w:val="002E1AAC"/>
    <w:rsid w:val="002F7B95"/>
    <w:rsid w:val="0030227B"/>
    <w:rsid w:val="0030275B"/>
    <w:rsid w:val="00303FB4"/>
    <w:rsid w:val="003045C2"/>
    <w:rsid w:val="00322F8E"/>
    <w:rsid w:val="0033016C"/>
    <w:rsid w:val="0033071C"/>
    <w:rsid w:val="00336C8A"/>
    <w:rsid w:val="00342EAC"/>
    <w:rsid w:val="003460C1"/>
    <w:rsid w:val="00347135"/>
    <w:rsid w:val="00355470"/>
    <w:rsid w:val="00360C60"/>
    <w:rsid w:val="00374FB4"/>
    <w:rsid w:val="003851CC"/>
    <w:rsid w:val="0039790E"/>
    <w:rsid w:val="003B0CAF"/>
    <w:rsid w:val="003B0DA2"/>
    <w:rsid w:val="003B5ABD"/>
    <w:rsid w:val="003D2F4D"/>
    <w:rsid w:val="003D38FB"/>
    <w:rsid w:val="003D7462"/>
    <w:rsid w:val="003E7C41"/>
    <w:rsid w:val="003F3DE2"/>
    <w:rsid w:val="003F6217"/>
    <w:rsid w:val="00403464"/>
    <w:rsid w:val="00412305"/>
    <w:rsid w:val="004201A1"/>
    <w:rsid w:val="004238CD"/>
    <w:rsid w:val="00430013"/>
    <w:rsid w:val="00450850"/>
    <w:rsid w:val="00461964"/>
    <w:rsid w:val="00463790"/>
    <w:rsid w:val="00475C8F"/>
    <w:rsid w:val="0048012E"/>
    <w:rsid w:val="00485950"/>
    <w:rsid w:val="0049076D"/>
    <w:rsid w:val="00494FB2"/>
    <w:rsid w:val="00495987"/>
    <w:rsid w:val="004A4D1C"/>
    <w:rsid w:val="004A4FC9"/>
    <w:rsid w:val="004B2A41"/>
    <w:rsid w:val="004C36D4"/>
    <w:rsid w:val="004C4A39"/>
    <w:rsid w:val="004C6256"/>
    <w:rsid w:val="004D199B"/>
    <w:rsid w:val="004E0BCF"/>
    <w:rsid w:val="004F6BEC"/>
    <w:rsid w:val="005005B7"/>
    <w:rsid w:val="00520CF9"/>
    <w:rsid w:val="0052286A"/>
    <w:rsid w:val="00537DE0"/>
    <w:rsid w:val="00546EAA"/>
    <w:rsid w:val="00552BDE"/>
    <w:rsid w:val="005571E4"/>
    <w:rsid w:val="00571F05"/>
    <w:rsid w:val="0057667C"/>
    <w:rsid w:val="005825ED"/>
    <w:rsid w:val="00584EDF"/>
    <w:rsid w:val="00591D3F"/>
    <w:rsid w:val="00593AD2"/>
    <w:rsid w:val="005A75E6"/>
    <w:rsid w:val="005B0584"/>
    <w:rsid w:val="005F0296"/>
    <w:rsid w:val="005F1A93"/>
    <w:rsid w:val="005F3C30"/>
    <w:rsid w:val="00616052"/>
    <w:rsid w:val="00621C7B"/>
    <w:rsid w:val="00632ABE"/>
    <w:rsid w:val="00641EE6"/>
    <w:rsid w:val="0064492A"/>
    <w:rsid w:val="0064638A"/>
    <w:rsid w:val="00646596"/>
    <w:rsid w:val="006517BF"/>
    <w:rsid w:val="00671A76"/>
    <w:rsid w:val="00694F2C"/>
    <w:rsid w:val="006A468A"/>
    <w:rsid w:val="006A5C8F"/>
    <w:rsid w:val="006B2F14"/>
    <w:rsid w:val="006C3F74"/>
    <w:rsid w:val="006C6102"/>
    <w:rsid w:val="006D5616"/>
    <w:rsid w:val="006D66AC"/>
    <w:rsid w:val="006D7178"/>
    <w:rsid w:val="00710DB0"/>
    <w:rsid w:val="007121D9"/>
    <w:rsid w:val="00716667"/>
    <w:rsid w:val="00723817"/>
    <w:rsid w:val="007257D0"/>
    <w:rsid w:val="00740468"/>
    <w:rsid w:val="00744D75"/>
    <w:rsid w:val="00745F7B"/>
    <w:rsid w:val="00755D27"/>
    <w:rsid w:val="00760988"/>
    <w:rsid w:val="00766067"/>
    <w:rsid w:val="00787699"/>
    <w:rsid w:val="007A24B8"/>
    <w:rsid w:val="007A3859"/>
    <w:rsid w:val="007A723D"/>
    <w:rsid w:val="007B424C"/>
    <w:rsid w:val="007D3BCE"/>
    <w:rsid w:val="007D3C61"/>
    <w:rsid w:val="007D5C28"/>
    <w:rsid w:val="007E753D"/>
    <w:rsid w:val="007F0F12"/>
    <w:rsid w:val="00807718"/>
    <w:rsid w:val="008243A2"/>
    <w:rsid w:val="008266D5"/>
    <w:rsid w:val="00826B8B"/>
    <w:rsid w:val="00833465"/>
    <w:rsid w:val="00850863"/>
    <w:rsid w:val="00854E78"/>
    <w:rsid w:val="00855C66"/>
    <w:rsid w:val="00857453"/>
    <w:rsid w:val="008622B5"/>
    <w:rsid w:val="00864991"/>
    <w:rsid w:val="0087526F"/>
    <w:rsid w:val="00877E34"/>
    <w:rsid w:val="008869BA"/>
    <w:rsid w:val="00890CB7"/>
    <w:rsid w:val="008B58F1"/>
    <w:rsid w:val="008B7334"/>
    <w:rsid w:val="008C7330"/>
    <w:rsid w:val="008E0069"/>
    <w:rsid w:val="008F021F"/>
    <w:rsid w:val="008F7D4B"/>
    <w:rsid w:val="00902696"/>
    <w:rsid w:val="009031CC"/>
    <w:rsid w:val="00907DD4"/>
    <w:rsid w:val="009174CF"/>
    <w:rsid w:val="00921B5B"/>
    <w:rsid w:val="009244ED"/>
    <w:rsid w:val="009253C4"/>
    <w:rsid w:val="0092638D"/>
    <w:rsid w:val="00930C7E"/>
    <w:rsid w:val="00935BFC"/>
    <w:rsid w:val="0093699D"/>
    <w:rsid w:val="009409AF"/>
    <w:rsid w:val="00950319"/>
    <w:rsid w:val="00952296"/>
    <w:rsid w:val="00966710"/>
    <w:rsid w:val="00970EDE"/>
    <w:rsid w:val="009828EC"/>
    <w:rsid w:val="0099348D"/>
    <w:rsid w:val="009A0658"/>
    <w:rsid w:val="009B0883"/>
    <w:rsid w:val="009C46FD"/>
    <w:rsid w:val="009C5761"/>
    <w:rsid w:val="009C6E5B"/>
    <w:rsid w:val="009D4FD3"/>
    <w:rsid w:val="00A018E6"/>
    <w:rsid w:val="00A03403"/>
    <w:rsid w:val="00A101C5"/>
    <w:rsid w:val="00A255FD"/>
    <w:rsid w:val="00A30805"/>
    <w:rsid w:val="00A60177"/>
    <w:rsid w:val="00A61E73"/>
    <w:rsid w:val="00A63D3C"/>
    <w:rsid w:val="00A71CE8"/>
    <w:rsid w:val="00A72E2B"/>
    <w:rsid w:val="00A7342E"/>
    <w:rsid w:val="00A77F66"/>
    <w:rsid w:val="00A85128"/>
    <w:rsid w:val="00A8605E"/>
    <w:rsid w:val="00AA6342"/>
    <w:rsid w:val="00AB2E20"/>
    <w:rsid w:val="00AB67CB"/>
    <w:rsid w:val="00AC1179"/>
    <w:rsid w:val="00AC4463"/>
    <w:rsid w:val="00AC76A4"/>
    <w:rsid w:val="00AD0A0D"/>
    <w:rsid w:val="00AD7B04"/>
    <w:rsid w:val="00AE1E83"/>
    <w:rsid w:val="00AE4B25"/>
    <w:rsid w:val="00AE6EDD"/>
    <w:rsid w:val="00AF0DFE"/>
    <w:rsid w:val="00B11717"/>
    <w:rsid w:val="00B1711F"/>
    <w:rsid w:val="00B27109"/>
    <w:rsid w:val="00B34CDE"/>
    <w:rsid w:val="00B37E4E"/>
    <w:rsid w:val="00B45BCD"/>
    <w:rsid w:val="00B46450"/>
    <w:rsid w:val="00B4780D"/>
    <w:rsid w:val="00B47A53"/>
    <w:rsid w:val="00B50119"/>
    <w:rsid w:val="00B5211C"/>
    <w:rsid w:val="00B524AF"/>
    <w:rsid w:val="00B53C14"/>
    <w:rsid w:val="00B54660"/>
    <w:rsid w:val="00B6023A"/>
    <w:rsid w:val="00B60EDE"/>
    <w:rsid w:val="00B64E8F"/>
    <w:rsid w:val="00B7273A"/>
    <w:rsid w:val="00B8341C"/>
    <w:rsid w:val="00B90890"/>
    <w:rsid w:val="00B94A51"/>
    <w:rsid w:val="00BA1BFC"/>
    <w:rsid w:val="00BA6245"/>
    <w:rsid w:val="00BA6E3D"/>
    <w:rsid w:val="00BA7B34"/>
    <w:rsid w:val="00BC4F4C"/>
    <w:rsid w:val="00BC620F"/>
    <w:rsid w:val="00BD4D6C"/>
    <w:rsid w:val="00BE2484"/>
    <w:rsid w:val="00BF668E"/>
    <w:rsid w:val="00C079F4"/>
    <w:rsid w:val="00C1188F"/>
    <w:rsid w:val="00C12DDC"/>
    <w:rsid w:val="00C12FEB"/>
    <w:rsid w:val="00C21AD6"/>
    <w:rsid w:val="00C254D6"/>
    <w:rsid w:val="00C25FE4"/>
    <w:rsid w:val="00C265B4"/>
    <w:rsid w:val="00C2730E"/>
    <w:rsid w:val="00C31D10"/>
    <w:rsid w:val="00C4365D"/>
    <w:rsid w:val="00C57750"/>
    <w:rsid w:val="00C60A8C"/>
    <w:rsid w:val="00C61DDB"/>
    <w:rsid w:val="00C623FB"/>
    <w:rsid w:val="00C719BA"/>
    <w:rsid w:val="00C73DDB"/>
    <w:rsid w:val="00C7574D"/>
    <w:rsid w:val="00C84ACB"/>
    <w:rsid w:val="00C94C8F"/>
    <w:rsid w:val="00CA4B51"/>
    <w:rsid w:val="00CA6197"/>
    <w:rsid w:val="00CB28D7"/>
    <w:rsid w:val="00CB59DF"/>
    <w:rsid w:val="00CC0EA6"/>
    <w:rsid w:val="00CE35C2"/>
    <w:rsid w:val="00CE41AB"/>
    <w:rsid w:val="00CE7EDB"/>
    <w:rsid w:val="00CF174F"/>
    <w:rsid w:val="00CF7275"/>
    <w:rsid w:val="00D00CFC"/>
    <w:rsid w:val="00D101E4"/>
    <w:rsid w:val="00D124BA"/>
    <w:rsid w:val="00D20963"/>
    <w:rsid w:val="00D416AB"/>
    <w:rsid w:val="00D5031B"/>
    <w:rsid w:val="00D50745"/>
    <w:rsid w:val="00D516F5"/>
    <w:rsid w:val="00D61100"/>
    <w:rsid w:val="00D65B0C"/>
    <w:rsid w:val="00D671CC"/>
    <w:rsid w:val="00D707C7"/>
    <w:rsid w:val="00D76DF2"/>
    <w:rsid w:val="00D91650"/>
    <w:rsid w:val="00D93235"/>
    <w:rsid w:val="00DC2A68"/>
    <w:rsid w:val="00DD00A0"/>
    <w:rsid w:val="00DD1A4D"/>
    <w:rsid w:val="00DD3533"/>
    <w:rsid w:val="00DE4880"/>
    <w:rsid w:val="00DE547F"/>
    <w:rsid w:val="00DE5841"/>
    <w:rsid w:val="00DF1B2D"/>
    <w:rsid w:val="00DF22C8"/>
    <w:rsid w:val="00DF3B15"/>
    <w:rsid w:val="00E129F5"/>
    <w:rsid w:val="00E15CD6"/>
    <w:rsid w:val="00E1702B"/>
    <w:rsid w:val="00E23F5D"/>
    <w:rsid w:val="00E348CB"/>
    <w:rsid w:val="00E4741C"/>
    <w:rsid w:val="00E5750E"/>
    <w:rsid w:val="00E57DBF"/>
    <w:rsid w:val="00E7182D"/>
    <w:rsid w:val="00E7403D"/>
    <w:rsid w:val="00E77C93"/>
    <w:rsid w:val="00E77CB7"/>
    <w:rsid w:val="00E85FBC"/>
    <w:rsid w:val="00E87CCA"/>
    <w:rsid w:val="00E90190"/>
    <w:rsid w:val="00E94ABD"/>
    <w:rsid w:val="00E958F0"/>
    <w:rsid w:val="00EA21D3"/>
    <w:rsid w:val="00ED2545"/>
    <w:rsid w:val="00ED3BB0"/>
    <w:rsid w:val="00ED4C60"/>
    <w:rsid w:val="00ED6B80"/>
    <w:rsid w:val="00EF1820"/>
    <w:rsid w:val="00EF4698"/>
    <w:rsid w:val="00EF6757"/>
    <w:rsid w:val="00F03490"/>
    <w:rsid w:val="00F13957"/>
    <w:rsid w:val="00F21CC3"/>
    <w:rsid w:val="00F23C4B"/>
    <w:rsid w:val="00F25F52"/>
    <w:rsid w:val="00F26214"/>
    <w:rsid w:val="00F34280"/>
    <w:rsid w:val="00F41204"/>
    <w:rsid w:val="00F43C20"/>
    <w:rsid w:val="00F513E4"/>
    <w:rsid w:val="00F536B1"/>
    <w:rsid w:val="00F63238"/>
    <w:rsid w:val="00F65EDB"/>
    <w:rsid w:val="00F67756"/>
    <w:rsid w:val="00F7726F"/>
    <w:rsid w:val="00F86D50"/>
    <w:rsid w:val="00F91E71"/>
    <w:rsid w:val="00FA42AB"/>
    <w:rsid w:val="00FA4F6E"/>
    <w:rsid w:val="00FA509D"/>
    <w:rsid w:val="00FB5D88"/>
    <w:rsid w:val="00FC0267"/>
    <w:rsid w:val="00FC0A81"/>
    <w:rsid w:val="00FC5400"/>
    <w:rsid w:val="00FC6600"/>
    <w:rsid w:val="00FE002E"/>
    <w:rsid w:val="00FE13C4"/>
    <w:rsid w:val="00FE36B2"/>
    <w:rsid w:val="00FE4C9B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E2A529"/>
  <w15:docId w15:val="{3ABE7A1D-959C-45D6-8FD4-2E16B75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F2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919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3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rsid w:val="00921EE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921EE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1EE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21EE6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ezodstavcovhostylu">
    <w:name w:val="[Bez odstavcového stylu]"/>
    <w:rsid w:val="008919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Cmsor1Char">
    <w:name w:val="Címsor 1 Char"/>
    <w:link w:val="Cmsor1"/>
    <w:uiPriority w:val="9"/>
    <w:rsid w:val="0089190C"/>
    <w:rPr>
      <w:rFonts w:ascii="Calibri" w:eastAsia="MS Gothic" w:hAnsi="Calibri" w:cs="Times New Roman"/>
      <w:b/>
      <w:bCs/>
      <w:color w:val="345A8A"/>
      <w:sz w:val="32"/>
      <w:szCs w:val="32"/>
      <w:lang w:val="en-US" w:eastAsia="en-US"/>
    </w:rPr>
  </w:style>
  <w:style w:type="character" w:styleId="Hiperhivatkozs">
    <w:name w:val="Hyperlink"/>
    <w:uiPriority w:val="99"/>
    <w:unhideWhenUsed/>
    <w:rsid w:val="009737B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C0116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Rcsostblzat">
    <w:name w:val="Table Grid"/>
    <w:basedOn w:val="Normltblzat"/>
    <w:uiPriority w:val="59"/>
    <w:rsid w:val="0016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4564CB"/>
  </w:style>
  <w:style w:type="paragraph" w:styleId="Listaszerbekezds">
    <w:name w:val="List Paragraph"/>
    <w:basedOn w:val="Norml"/>
    <w:uiPriority w:val="34"/>
    <w:qFormat/>
    <w:rsid w:val="00754B55"/>
    <w:pPr>
      <w:ind w:left="720"/>
    </w:pPr>
    <w:rPr>
      <w:rFonts w:ascii="Calibri" w:eastAsiaTheme="minorHAnsi" w:hAnsi="Calibri"/>
      <w:sz w:val="22"/>
      <w:szCs w:val="22"/>
      <w:lang w:val="pl-PL" w:eastAsia="pl-PL"/>
    </w:rPr>
  </w:style>
  <w:style w:type="character" w:customStyle="1" w:styleId="Cmsor3Char">
    <w:name w:val="Címsor 3 Char"/>
    <w:basedOn w:val="Bekezdsalapbettpusa"/>
    <w:link w:val="Cmsor3"/>
    <w:uiPriority w:val="9"/>
    <w:rsid w:val="00683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22"/>
    <w:qFormat/>
    <w:rsid w:val="007E3E44"/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757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7573"/>
    <w:rPr>
      <w:lang w:val="en-US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97573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524C5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3B27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7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75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7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757"/>
    <w:rPr>
      <w:b/>
      <w:bCs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81FC0"/>
    <w:rPr>
      <w:color w:val="954F72" w:themeColor="followedHyperlink"/>
      <w:u w:val="single"/>
    </w:rPr>
  </w:style>
  <w:style w:type="character" w:customStyle="1" w:styleId="style26">
    <w:name w:val="style26"/>
    <w:basedOn w:val="Bekezdsalapbettpusa"/>
    <w:rsid w:val="00D75889"/>
  </w:style>
  <w:style w:type="character" w:customStyle="1" w:styleId="spacer">
    <w:name w:val="spacer"/>
    <w:basedOn w:val="Bekezdsalapbettpusa"/>
    <w:rsid w:val="00D75889"/>
  </w:style>
  <w:style w:type="paragraph" w:styleId="Csakszveg">
    <w:name w:val="Plain Text"/>
    <w:basedOn w:val="Norml"/>
    <w:link w:val="CsakszvegChar"/>
    <w:uiPriority w:val="99"/>
    <w:unhideWhenUsed/>
    <w:rsid w:val="005703E2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CsakszvegChar">
    <w:name w:val="Csak szöveg Char"/>
    <w:basedOn w:val="Bekezdsalapbettpusa"/>
    <w:link w:val="Csakszveg"/>
    <w:uiPriority w:val="99"/>
    <w:rsid w:val="005703E2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p1">
    <w:name w:val="p1"/>
    <w:basedOn w:val="Norml"/>
    <w:rsid w:val="004C4A39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l"/>
    <w:rsid w:val="004C4A39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Bekezdsalapbettpusa"/>
    <w:rsid w:val="004C4A3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Nincstrkz">
    <w:name w:val="No Spacing"/>
    <w:uiPriority w:val="1"/>
    <w:qFormat/>
    <w:rsid w:val="00C719B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Normltblzat"/>
    <w:next w:val="Rcsostblzat"/>
    <w:uiPriority w:val="59"/>
    <w:rsid w:val="0022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eavis.com/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5B03E-FF64-4271-A521-73B29358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6124</Characters>
  <Application>Microsoft Office Word</Application>
  <DocSecurity>0</DocSecurity>
  <Lines>51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6998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http://www.hbreavis.com/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Sobota</dc:creator>
  <cp:lastModifiedBy>User</cp:lastModifiedBy>
  <cp:revision>2</cp:revision>
  <cp:lastPrinted>2016-04-12T12:42:00Z</cp:lastPrinted>
  <dcterms:created xsi:type="dcterms:W3CDTF">2017-04-28T07:27:00Z</dcterms:created>
  <dcterms:modified xsi:type="dcterms:W3CDTF">2017-04-28T07:27:00Z</dcterms:modified>
</cp:coreProperties>
</file>