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rPr>
          <w:sz w:val="22"/>
          <w:szCs w:val="22"/>
          <w:highlight w:val="white"/>
        </w:rPr>
      </w:pPr>
      <w:r w:rsidDel="00000000" w:rsidR="00000000" w:rsidRPr="00000000">
        <w:rPr>
          <w:sz w:val="22"/>
          <w:szCs w:val="22"/>
          <w:rtl w:val="0"/>
        </w:rPr>
        <w:t xml:space="preserve">2017.</w:t>
      </w:r>
      <w:r w:rsidDel="00000000" w:rsidR="00000000" w:rsidRPr="00000000">
        <w:rPr>
          <w:sz w:val="22"/>
          <w:szCs w:val="22"/>
          <w:highlight w:val="white"/>
          <w:rtl w:val="0"/>
        </w:rPr>
        <w:t xml:space="preserve"> november 24.</w:t>
      </w:r>
    </w:p>
    <w:p w:rsidR="00000000" w:rsidDel="00000000" w:rsidP="00000000" w:rsidRDefault="00000000" w:rsidRPr="00000000">
      <w:pPr>
        <w:spacing w:line="276" w:lineRule="auto"/>
        <w:contextualSpacing w:val="0"/>
        <w:rPr>
          <w:sz w:val="22"/>
          <w:szCs w:val="22"/>
        </w:rPr>
      </w:pPr>
      <w:r w:rsidDel="00000000" w:rsidR="00000000" w:rsidRPr="00000000">
        <w:rPr>
          <w:sz w:val="22"/>
          <w:szCs w:val="22"/>
          <w:rtl w:val="0"/>
        </w:rPr>
        <w:t xml:space="preserve">Sajtóközlemény</w:t>
      </w:r>
    </w:p>
    <w:p w:rsidR="00000000" w:rsidDel="00000000" w:rsidP="00000000" w:rsidRDefault="00000000" w:rsidRPr="00000000">
      <w:pPr>
        <w:spacing w:after="2" w:before="2" w:line="276" w:lineRule="auto"/>
        <w:contextualSpacing w:val="0"/>
        <w:jc w:val="center"/>
        <w:rPr>
          <w:rFonts w:ascii="Trebuchet MS" w:cs="Trebuchet MS" w:eastAsia="Trebuchet MS" w:hAnsi="Trebuchet MS"/>
          <w:b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pPr>
        <w:spacing w:after="2" w:before="2" w:line="276" w:lineRule="auto"/>
        <w:contextualSpacing w:val="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BREEAM Communities International minősítésre</w:t>
      </w:r>
    </w:p>
    <w:p w:rsidR="00000000" w:rsidDel="00000000" w:rsidP="00000000" w:rsidRDefault="00000000" w:rsidRPr="00000000">
      <w:pPr>
        <w:spacing w:after="2" w:before="2" w:line="276" w:lineRule="auto"/>
        <w:contextualSpacing w:val="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 regisztrálták a HB Reavis projektjeit</w:t>
      </w:r>
    </w:p>
    <w:p w:rsidR="00000000" w:rsidDel="00000000" w:rsidP="00000000" w:rsidRDefault="00000000" w:rsidRPr="00000000">
      <w:pPr>
        <w:spacing w:after="2" w:before="2" w:line="276" w:lineRule="auto"/>
        <w:contextualSpacing w:val="0"/>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b w:val="1"/>
          <w:sz w:val="22"/>
          <w:szCs w:val="22"/>
        </w:rPr>
      </w:pPr>
      <w:r w:rsidDel="00000000" w:rsidR="00000000" w:rsidRPr="00000000">
        <w:rPr>
          <w:b w:val="1"/>
          <w:sz w:val="22"/>
          <w:szCs w:val="22"/>
          <w:rtl w:val="0"/>
        </w:rPr>
        <w:t xml:space="preserve">A HB Reavis ingatlanfejlesztő csoport BREEAM Communities International minősítésre jegyeztette Pozsony belvárosában épülő projektjeit. </w:t>
      </w:r>
      <w:r w:rsidDel="00000000" w:rsidR="00000000" w:rsidRPr="00000000">
        <w:rPr>
          <w:b w:val="1"/>
          <w:sz w:val="22"/>
          <w:szCs w:val="22"/>
          <w:rtl w:val="0"/>
        </w:rPr>
        <w:t xml:space="preserve">A fejlesztések számos előnnyel járnak majd a közösség számára a zöld területektől a népszerű szolgáltatásokon át a közlekedésig, a Nove Nivy kerület ráadásul az első városi terület a világon, amit erre az elismerésre jegyeztettek. </w:t>
      </w:r>
      <w:r w:rsidDel="00000000" w:rsidR="00000000" w:rsidRPr="00000000">
        <w:rPr>
          <w:b w:val="1"/>
          <w:sz w:val="22"/>
          <w:szCs w:val="22"/>
          <w:rtl w:val="0"/>
        </w:rPr>
        <w:t xml:space="preserve">A fejlesztő további nagyléptékű projektjeit, így az Agora Budapestet </w:t>
      </w:r>
      <w:r w:rsidDel="00000000" w:rsidR="00000000" w:rsidRPr="00000000">
        <w:rPr>
          <w:b w:val="1"/>
          <w:sz w:val="22"/>
          <w:szCs w:val="22"/>
          <w:rtl w:val="0"/>
        </w:rPr>
        <w:t xml:space="preserve">is regisztrálta a minősítésre. </w:t>
      </w:r>
      <w:r w:rsidDel="00000000" w:rsidR="00000000" w:rsidRPr="00000000">
        <w:rPr>
          <w:rtl w:val="0"/>
        </w:rPr>
      </w:r>
    </w:p>
    <w:p w:rsidR="00000000" w:rsidDel="00000000" w:rsidP="00000000" w:rsidRDefault="00000000" w:rsidRPr="00000000">
      <w:pPr>
        <w:spacing w:line="276" w:lineRule="auto"/>
        <w:contextualSpacing w:val="0"/>
        <w:jc w:val="both"/>
        <w:rPr>
          <w:b w:val="1"/>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b w:val="1"/>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sz w:val="22"/>
          <w:szCs w:val="22"/>
        </w:rPr>
      </w:pPr>
      <w:bookmarkStart w:colFirst="0" w:colLast="0" w:name="_30j0zll" w:id="1"/>
      <w:bookmarkEnd w:id="1"/>
      <w:r w:rsidDel="00000000" w:rsidR="00000000" w:rsidRPr="00000000">
        <w:rPr>
          <w:sz w:val="22"/>
          <w:szCs w:val="22"/>
          <w:rtl w:val="0"/>
        </w:rPr>
        <w:t xml:space="preserve">A BREEAM Communities minősítési rendszer a brit Building Research Establishment kezdeményezése, amely a nagyméretű fejlesztések fenntarthatóságát méri és minősíti. Míg a szokásos BREEAM minősítési rendszer egyetlen épületet értékel, a közösségi alapú BREEAM Communities </w:t>
      </w:r>
      <w:r w:rsidDel="00000000" w:rsidR="00000000" w:rsidRPr="00000000">
        <w:rPr>
          <w:sz w:val="22"/>
          <w:szCs w:val="22"/>
          <w:rtl w:val="0"/>
        </w:rPr>
        <w:t xml:space="preserve">nagyobb léptékű </w:t>
      </w:r>
      <w:r w:rsidDel="00000000" w:rsidR="00000000" w:rsidRPr="00000000">
        <w:rPr>
          <w:sz w:val="22"/>
          <w:szCs w:val="22"/>
          <w:rtl w:val="0"/>
        </w:rPr>
        <w:t xml:space="preserve">beruházásokra összpontosít, és azok átfogó</w:t>
      </w:r>
      <w:r w:rsidDel="00000000" w:rsidR="00000000" w:rsidRPr="00000000">
        <w:rPr>
          <w:b w:val="1"/>
          <w:sz w:val="22"/>
          <w:szCs w:val="22"/>
          <w:rtl w:val="0"/>
        </w:rPr>
        <w:t xml:space="preserve"> </w:t>
      </w:r>
      <w:r w:rsidDel="00000000" w:rsidR="00000000" w:rsidRPr="00000000">
        <w:rPr>
          <w:sz w:val="22"/>
          <w:szCs w:val="22"/>
          <w:rtl w:val="0"/>
        </w:rPr>
        <w:t xml:space="preserve">környezeti hatását vizsgálja.  Felméri az egyes projektek társadalmi és gazdasági jóllétre, természeti erőforrásokra, energiafelhasználásra, infrastruktúrára, lakhatásra és gazdasági létesítményekre gyakorolt hatását, miközben egy keretrendszert is biztosít a tervezéshez. A minősítési rendszer nemzetközi változatát 2017-ben vezették be.</w:t>
      </w:r>
    </w:p>
    <w:p w:rsidR="00000000" w:rsidDel="00000000" w:rsidP="00000000" w:rsidRDefault="00000000" w:rsidRPr="00000000">
      <w:pPr>
        <w:spacing w:line="276" w:lineRule="auto"/>
        <w:contextualSpacing w:val="0"/>
        <w:jc w:val="both"/>
        <w:rPr>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b w:val="1"/>
          <w:sz w:val="22"/>
          <w:szCs w:val="22"/>
        </w:rPr>
      </w:pPr>
      <w:r w:rsidDel="00000000" w:rsidR="00000000" w:rsidRPr="00000000">
        <w:rPr>
          <w:b w:val="1"/>
          <w:sz w:val="22"/>
          <w:szCs w:val="22"/>
          <w:rtl w:val="0"/>
        </w:rPr>
        <w:t xml:space="preserve">8 fejlesztés 230 000 négyzetméteren</w:t>
      </w:r>
    </w:p>
    <w:p w:rsidR="00000000" w:rsidDel="00000000" w:rsidP="00000000" w:rsidRDefault="00000000" w:rsidRPr="00000000">
      <w:pPr>
        <w:spacing w:line="276" w:lineRule="auto"/>
        <w:contextualSpacing w:val="0"/>
        <w:jc w:val="both"/>
        <w:rPr>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i w:val="1"/>
          <w:sz w:val="22"/>
          <w:szCs w:val="22"/>
        </w:rPr>
      </w:pPr>
      <w:r w:rsidDel="00000000" w:rsidR="00000000" w:rsidRPr="00000000">
        <w:rPr>
          <w:sz w:val="22"/>
          <w:szCs w:val="22"/>
          <w:rtl w:val="0"/>
        </w:rPr>
        <w:t xml:space="preserve">A cél, hogy a teljes Nove Nivy kerület megszerezze a BREEAM Communities nemzetközi minősítést, magába foglalva a jövőben épülő </w:t>
      </w:r>
      <w:r w:rsidDel="00000000" w:rsidR="00000000" w:rsidRPr="00000000">
        <w:rPr>
          <w:b w:val="1"/>
          <w:sz w:val="22"/>
          <w:szCs w:val="22"/>
          <w:rtl w:val="0"/>
        </w:rPr>
        <w:t xml:space="preserve">Twin City Tower-t</w:t>
      </w:r>
      <w:r w:rsidDel="00000000" w:rsidR="00000000" w:rsidRPr="00000000">
        <w:rPr>
          <w:sz w:val="22"/>
          <w:szCs w:val="22"/>
          <w:rtl w:val="0"/>
        </w:rPr>
        <w:t xml:space="preserve">, a nemzetközi </w:t>
      </w:r>
      <w:r w:rsidDel="00000000" w:rsidR="00000000" w:rsidRPr="00000000">
        <w:rPr>
          <w:b w:val="1"/>
          <w:sz w:val="22"/>
          <w:szCs w:val="22"/>
          <w:rtl w:val="0"/>
        </w:rPr>
        <w:t xml:space="preserve">Stanica Nivy buszpályaudvart</w:t>
      </w:r>
      <w:r w:rsidDel="00000000" w:rsidR="00000000" w:rsidRPr="00000000">
        <w:rPr>
          <w:sz w:val="22"/>
          <w:szCs w:val="22"/>
          <w:rtl w:val="0"/>
        </w:rPr>
        <w:t xml:space="preserve"> </w:t>
      </w:r>
      <w:r w:rsidDel="00000000" w:rsidR="00000000" w:rsidRPr="00000000">
        <w:rPr>
          <w:b w:val="1"/>
          <w:sz w:val="22"/>
          <w:szCs w:val="22"/>
          <w:rtl w:val="0"/>
        </w:rPr>
        <w:t xml:space="preserve">és bevásárlóközpontot</w:t>
      </w:r>
      <w:r w:rsidDel="00000000" w:rsidR="00000000" w:rsidRPr="00000000">
        <w:rPr>
          <w:sz w:val="22"/>
          <w:szCs w:val="22"/>
          <w:rtl w:val="0"/>
        </w:rPr>
        <w:t xml:space="preserve">, </w:t>
      </w:r>
      <w:r w:rsidDel="00000000" w:rsidR="00000000" w:rsidRPr="00000000">
        <w:rPr>
          <w:b w:val="1"/>
          <w:sz w:val="22"/>
          <w:szCs w:val="22"/>
          <w:rtl w:val="0"/>
        </w:rPr>
        <w:t xml:space="preserve">új irodafejlesztéseket, közcélú infrastruktúrát, közlekedési hálózatot és új zöldterületeket.</w:t>
      </w:r>
      <w:r w:rsidDel="00000000" w:rsidR="00000000" w:rsidRPr="00000000">
        <w:rPr>
          <w:sz w:val="22"/>
          <w:szCs w:val="22"/>
          <w:rtl w:val="0"/>
        </w:rPr>
        <w:t xml:space="preserve"> A 230 000 m</w:t>
      </w:r>
      <w:r w:rsidDel="00000000" w:rsidR="00000000" w:rsidRPr="00000000">
        <w:rPr>
          <w:sz w:val="22"/>
          <w:szCs w:val="22"/>
          <w:vertAlign w:val="superscript"/>
          <w:rtl w:val="0"/>
        </w:rPr>
        <w:t xml:space="preserve">2</w:t>
      </w:r>
      <w:r w:rsidDel="00000000" w:rsidR="00000000" w:rsidRPr="00000000">
        <w:rPr>
          <w:sz w:val="22"/>
          <w:szCs w:val="22"/>
          <w:rtl w:val="0"/>
        </w:rPr>
        <w:t xml:space="preserve">-en elterülő Nove Nivy kerületben összesen </w:t>
      </w:r>
      <w:r w:rsidDel="00000000" w:rsidR="00000000" w:rsidRPr="00000000">
        <w:rPr>
          <w:b w:val="1"/>
          <w:sz w:val="22"/>
          <w:szCs w:val="22"/>
          <w:rtl w:val="0"/>
        </w:rPr>
        <w:t xml:space="preserve">nyolc fejlesztés</w:t>
      </w:r>
      <w:r w:rsidDel="00000000" w:rsidR="00000000" w:rsidRPr="00000000">
        <w:rPr>
          <w:sz w:val="22"/>
          <w:szCs w:val="22"/>
          <w:rtl w:val="0"/>
        </w:rPr>
        <w:t xml:space="preserve"> valósul majd meg, és a jelenleg elhagyott területek újjászületését követően a szlovák főváros új, pezsgő üzleti és közösségi központjává válik. </w:t>
      </w:r>
      <w:r w:rsidDel="00000000" w:rsidR="00000000" w:rsidRPr="00000000">
        <w:rPr>
          <w:rtl w:val="0"/>
        </w:rPr>
      </w:r>
    </w:p>
    <w:p w:rsidR="00000000" w:rsidDel="00000000" w:rsidP="00000000" w:rsidRDefault="00000000" w:rsidRPr="00000000">
      <w:pPr>
        <w:spacing w:line="276" w:lineRule="auto"/>
        <w:contextualSpacing w:val="0"/>
        <w:jc w:val="both"/>
        <w:rPr>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b w:val="1"/>
          <w:sz w:val="22"/>
          <w:szCs w:val="22"/>
        </w:rPr>
      </w:pPr>
      <w:r w:rsidDel="00000000" w:rsidR="00000000" w:rsidRPr="00000000">
        <w:rPr>
          <w:b w:val="1"/>
          <w:sz w:val="22"/>
          <w:szCs w:val="22"/>
          <w:rtl w:val="0"/>
        </w:rPr>
        <w:t xml:space="preserve">Grillezés és meeting a tetőteraszon</w:t>
      </w:r>
    </w:p>
    <w:p w:rsidR="00000000" w:rsidDel="00000000" w:rsidP="00000000" w:rsidRDefault="00000000" w:rsidRPr="00000000">
      <w:pPr>
        <w:spacing w:line="276" w:lineRule="auto"/>
        <w:contextualSpacing w:val="0"/>
        <w:jc w:val="both"/>
        <w:rPr>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sz w:val="22"/>
          <w:szCs w:val="22"/>
        </w:rPr>
      </w:pPr>
      <w:bookmarkStart w:colFirst="0" w:colLast="0" w:name="_1fob9te" w:id="2"/>
      <w:bookmarkEnd w:id="2"/>
      <w:r w:rsidDel="00000000" w:rsidR="00000000" w:rsidRPr="00000000">
        <w:rPr>
          <w:sz w:val="22"/>
          <w:szCs w:val="22"/>
          <w:rtl w:val="0"/>
        </w:rPr>
        <w:t xml:space="preserve">A HB Reavis nemrég kezdte meg a kerület legújabb fejlesztésének, a 133 000 m</w:t>
      </w:r>
      <w:r w:rsidDel="00000000" w:rsidR="00000000" w:rsidRPr="00000000">
        <w:rPr>
          <w:sz w:val="22"/>
          <w:szCs w:val="22"/>
          <w:vertAlign w:val="superscript"/>
          <w:rtl w:val="0"/>
        </w:rPr>
        <w:t xml:space="preserve">2</w:t>
      </w:r>
      <w:r w:rsidDel="00000000" w:rsidR="00000000" w:rsidRPr="00000000">
        <w:rPr>
          <w:sz w:val="22"/>
          <w:szCs w:val="22"/>
          <w:rtl w:val="0"/>
        </w:rPr>
        <w:t xml:space="preserve">-es Stanica Nivy építési munkálatait, amely egy regionálisan is jelentős bevásárlóközpontot, </w:t>
      </w:r>
      <w:r w:rsidDel="00000000" w:rsidR="00000000" w:rsidRPr="00000000">
        <w:rPr>
          <w:i w:val="1"/>
          <w:sz w:val="22"/>
          <w:szCs w:val="22"/>
          <w:rtl w:val="0"/>
        </w:rPr>
        <w:t xml:space="preserve">A</w:t>
      </w:r>
      <w:r w:rsidDel="00000000" w:rsidR="00000000" w:rsidRPr="00000000">
        <w:rPr>
          <w:sz w:val="22"/>
          <w:szCs w:val="22"/>
          <w:rtl w:val="0"/>
        </w:rPr>
        <w:t xml:space="preserve"> kategóriás irodákat, újjáépített buszpályaudvart és modern piacot is felölel. A fejlesztés részeként </w:t>
      </w:r>
      <w:r w:rsidDel="00000000" w:rsidR="00000000" w:rsidRPr="00000000">
        <w:rPr>
          <w:b w:val="1"/>
          <w:sz w:val="22"/>
          <w:szCs w:val="22"/>
          <w:rtl w:val="0"/>
        </w:rPr>
        <w:t xml:space="preserve">két futballpálya méretű városi tetőkertet</w:t>
      </w:r>
      <w:r w:rsidDel="00000000" w:rsidR="00000000" w:rsidRPr="00000000">
        <w:rPr>
          <w:sz w:val="22"/>
          <w:szCs w:val="22"/>
          <w:rtl w:val="0"/>
        </w:rPr>
        <w:t xml:space="preserve"> is létrehoznak, ami nemcsak a város zöldterületet arányát növeli, de egyedülálló üzleti és szabadidős találkozópontként is szolgál majd. Az itt lakó, dolgozó, vagy épp ide látogató emberek finomat ebédelhetnek barátaik vagy munkatársaik társaságában, üzleti megbeszélést tarthatnak a fűben ülve, vagy akár sportolhatnak is az ebédszünetben. A piacon megvásárolt friss élelmiszereket </w:t>
      </w:r>
      <w:r w:rsidDel="00000000" w:rsidR="00000000" w:rsidRPr="00000000">
        <w:rPr>
          <w:b w:val="1"/>
          <w:sz w:val="22"/>
          <w:szCs w:val="22"/>
          <w:rtl w:val="0"/>
        </w:rPr>
        <w:t xml:space="preserve">a tetőkertben elhelyezett grillezőkön</w:t>
      </w:r>
      <w:r w:rsidDel="00000000" w:rsidR="00000000" w:rsidRPr="00000000">
        <w:rPr>
          <w:sz w:val="22"/>
          <w:szCs w:val="22"/>
          <w:rtl w:val="0"/>
        </w:rPr>
        <w:t xml:space="preserve"> akár meg is lehet majd sütni. Sőt, a környékbeli iskolák akár osztályteremként is használhatják a tereket. </w:t>
      </w:r>
    </w:p>
    <w:p w:rsidR="00000000" w:rsidDel="00000000" w:rsidP="00000000" w:rsidRDefault="00000000" w:rsidRPr="00000000">
      <w:pPr>
        <w:spacing w:line="276" w:lineRule="auto"/>
        <w:contextualSpacing w:val="0"/>
        <w:jc w:val="both"/>
        <w:rPr>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sz w:val="22"/>
          <w:szCs w:val="22"/>
        </w:rPr>
      </w:pPr>
      <w:r w:rsidDel="00000000" w:rsidR="00000000" w:rsidRPr="00000000">
        <w:rPr>
          <w:sz w:val="22"/>
          <w:szCs w:val="22"/>
          <w:rtl w:val="0"/>
        </w:rPr>
        <w:t xml:space="preserve">A </w:t>
      </w:r>
      <w:r w:rsidDel="00000000" w:rsidR="00000000" w:rsidRPr="00000000">
        <w:rPr>
          <w:b w:val="1"/>
          <w:sz w:val="22"/>
          <w:szCs w:val="22"/>
          <w:rtl w:val="0"/>
        </w:rPr>
        <w:t xml:space="preserve">londoni Benoy és a helyi Siebert+Talas</w:t>
      </w:r>
      <w:r w:rsidDel="00000000" w:rsidR="00000000" w:rsidRPr="00000000">
        <w:rPr>
          <w:sz w:val="22"/>
          <w:szCs w:val="22"/>
          <w:rtl w:val="0"/>
        </w:rPr>
        <w:t xml:space="preserve"> építészirodák által tervezett projekt a város új központja lesz: a trendi üzleteket, az egyedülálló szolgáltatásokat és a széles gasztronómiai kínálatot könnyen elérik az emberek a tömegközlekedés és kerékpárutak fejlesztése miatt. </w:t>
      </w:r>
    </w:p>
    <w:p w:rsidR="00000000" w:rsidDel="00000000" w:rsidP="00000000" w:rsidRDefault="00000000" w:rsidRPr="00000000">
      <w:pPr>
        <w:spacing w:line="276" w:lineRule="auto"/>
        <w:contextualSpacing w:val="0"/>
        <w:jc w:val="both"/>
        <w:rPr>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sz w:val="22"/>
          <w:szCs w:val="22"/>
        </w:rPr>
      </w:pPr>
      <w:r w:rsidDel="00000000" w:rsidR="00000000" w:rsidRPr="00000000">
        <w:rPr>
          <w:sz w:val="22"/>
          <w:szCs w:val="22"/>
          <w:rtl w:val="0"/>
        </w:rPr>
        <w:t xml:space="preserve">A BREEAM a  világon legszélesebb körben elterjedt min</w:t>
      </w:r>
      <w:r w:rsidDel="00000000" w:rsidR="00000000" w:rsidRPr="00000000">
        <w:rPr>
          <w:rFonts w:ascii="Calibri" w:cs="Calibri" w:eastAsia="Calibri" w:hAnsi="Calibri"/>
          <w:sz w:val="22"/>
          <w:szCs w:val="22"/>
          <w:rtl w:val="0"/>
        </w:rPr>
        <w:t xml:space="preserve">ő</w:t>
      </w:r>
      <w:r w:rsidDel="00000000" w:rsidR="00000000" w:rsidRPr="00000000">
        <w:rPr>
          <w:sz w:val="22"/>
          <w:szCs w:val="22"/>
          <w:rtl w:val="0"/>
        </w:rPr>
        <w:t xml:space="preserve">sít</w:t>
      </w:r>
      <w:r w:rsidDel="00000000" w:rsidR="00000000" w:rsidRPr="00000000">
        <w:rPr>
          <w:rFonts w:ascii="Calibri" w:cs="Calibri" w:eastAsia="Calibri" w:hAnsi="Calibri"/>
          <w:sz w:val="22"/>
          <w:szCs w:val="22"/>
          <w:rtl w:val="0"/>
        </w:rPr>
        <w:t xml:space="preserve">ő</w:t>
      </w:r>
      <w:r w:rsidDel="00000000" w:rsidR="00000000" w:rsidRPr="00000000">
        <w:rPr>
          <w:sz w:val="22"/>
          <w:szCs w:val="22"/>
          <w:rtl w:val="0"/>
        </w:rPr>
        <w:t xml:space="preserve"> rendszer az épületek fenntarthatóságának értékelésében. A BRE erőfeszítéseinek köszönhetően világszerte nagymértékben javult az épületek színvonala, valamint a fenntartható fejlesztésekkel érintett környékek lakóinak életminősége. A csaknem 30 éve </w:t>
      </w:r>
      <w:r w:rsidDel="00000000" w:rsidR="00000000" w:rsidRPr="00000000">
        <w:rPr>
          <w:b w:val="1"/>
          <w:sz w:val="22"/>
          <w:szCs w:val="22"/>
          <w:rtl w:val="0"/>
        </w:rPr>
        <w:t xml:space="preserve">létező BREEAM 78 országban van jelen, </w:t>
      </w:r>
      <w:r w:rsidDel="00000000" w:rsidR="00000000" w:rsidRPr="00000000">
        <w:rPr>
          <w:sz w:val="22"/>
          <w:szCs w:val="22"/>
          <w:rtl w:val="0"/>
        </w:rPr>
        <w:t xml:space="preserve">nemrég továbbfejlesztett, egységesített minősítési rendszerének köszönhetően pedig ez a szám tovább növekszik. A HB Reavis egyik legjelentősebb, Varsó központjában épülű </w:t>
      </w:r>
      <w:r w:rsidDel="00000000" w:rsidR="00000000" w:rsidRPr="00000000">
        <w:rPr>
          <w:b w:val="1"/>
          <w:sz w:val="22"/>
          <w:szCs w:val="22"/>
          <w:rtl w:val="0"/>
        </w:rPr>
        <w:t xml:space="preserve">Varsó Torony</w:t>
      </w:r>
      <w:r w:rsidDel="00000000" w:rsidR="00000000" w:rsidRPr="00000000">
        <w:rPr>
          <w:sz w:val="22"/>
          <w:szCs w:val="22"/>
          <w:rtl w:val="0"/>
        </w:rPr>
        <w:t xml:space="preserve"> Európában elsőként elnyerte a </w:t>
      </w:r>
      <w:r w:rsidDel="00000000" w:rsidR="00000000" w:rsidRPr="00000000">
        <w:rPr>
          <w:b w:val="1"/>
          <w:sz w:val="22"/>
          <w:szCs w:val="22"/>
          <w:rtl w:val="0"/>
        </w:rPr>
        <w:t xml:space="preserve">WELL Building Institute™ nemzetközi WELL Core &amp; Shell előminősítését,</w:t>
      </w:r>
      <w:r w:rsidDel="00000000" w:rsidR="00000000" w:rsidRPr="00000000">
        <w:rPr>
          <w:sz w:val="22"/>
          <w:szCs w:val="22"/>
          <w:rtl w:val="0"/>
        </w:rPr>
        <w:t xml:space="preserve"> ami szintén bizonyítja a fejlesztőcég teljes körű elkötelezettségét a fenntarthatóság iránt. </w:t>
      </w:r>
    </w:p>
    <w:p w:rsidR="00000000" w:rsidDel="00000000" w:rsidP="00000000" w:rsidRDefault="00000000" w:rsidRPr="00000000">
      <w:pPr>
        <w:spacing w:line="276" w:lineRule="auto"/>
        <w:contextualSpacing w:val="0"/>
        <w:jc w:val="both"/>
        <w:rPr>
          <w:b w:val="1"/>
          <w:sz w:val="22"/>
          <w:szCs w:val="22"/>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 HB Reavis Csoportról</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A HB Reavis küldetése, hogy ingatlanmegoldásaik révén meghatározó élményekkel gazdagítsák az emberek életét.</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Fő fókuszunkban azok az emberek állnak, akik számára fejlesztéseink készülnek: célunk, hogy olyan nagyszabású tereket hozzunk létre, amelyek növelik az ott dolgozók és a környéken lakók produktivitását és jó közérzetét. Integrált pán-európai fejlesztőként épületeink tervezését, építését és kezelését is mi végezzük, emellett befektetéskezelőként is működünk, és co-working-terek létrehozásával és üzemeltetésével is foglalkozunk. Jelenleg az Egyesült Királyságban, Lengyelországban, Csehországban, Szlovákiában és Magyarországon tevékenykedünk, míg Németországban és Törökországban keressük a fejlesztési lehetőségeket.</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A fejlesztéseinkre jellemző minőség, fenntarthatóság, és kiemelkedően magas színvonal eredményeként nemzetközi szinten több díjjal is elismerték munkánkat. Az AON Hewitt például a „Lengyelország Legjobb Munkáltatója” címet ítélte oda vállalatunknak, emellett a CEE Quality Awardson a HB Reavis lett „Közép-Kelet Európa Legjobb Fejlesztője 2017”, a World Finance Awardson pedig elnyerte a „2016 Legjobb Irodafejlesztője” díjat.</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Fejlesztéseink összterülete több mint 1,2 millió négyzetméter, mintegy 5,7 milliárd euró bruttó fejlesztési értékkel. Portfóliónk több mint 87%-a modern munkahelyekből áll, aminek köszönhetően Európa egyik vezető vállalata vagyunk a munkahelyi megoldások terén. Emellett további 11 projektünk van folyamatban 355 ezer négyzetméternyi bérbeadható területtel, 1,8 milliárd euró értékben.</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Büszkék vagyunk, hogy 1,2 milliárd eurós tőkéjével és több mint 600 szakemberével a HB Reavis egyike Európa piacvezető ingatlanfejlesztőinek.</w:t>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Bővebb információért látogasson el a https://hbreavis.com/hu/ oldalra!</w:t>
      </w:r>
    </w:p>
    <w:sectPr>
      <w:headerReference r:id="rId5" w:type="default"/>
      <w:headerReference r:id="rId6" w:type="first"/>
      <w:footerReference r:id="rId7" w:type="default"/>
      <w:footerReference r:id="rId8" w:type="first"/>
      <w:pgSz w:h="16840" w:w="11900"/>
      <w:pgMar w:bottom="1321" w:top="2127" w:left="1247" w:right="1247" w:header="567" w:footer="56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rebuchet MS"/>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72"/>
      </w:tabs>
      <w:spacing w:after="80" w:line="216" w:lineRule="auto"/>
      <w:ind w:left="7371" w:firstLine="0"/>
      <w:contextualSpacing w:val="0"/>
      <w:rPr>
        <w:rFonts w:ascii="Times New Roman" w:cs="Times New Roman" w:eastAsia="Times New Roman" w:hAnsi="Times New Roman"/>
        <w:color w:val="686c6d"/>
        <w:sz w:val="17"/>
        <w:szCs w:val="17"/>
      </w:rPr>
    </w:pPr>
    <w:r w:rsidDel="00000000" w:rsidR="00000000" w:rsidRPr="00000000">
      <w:rPr>
        <w:rFonts w:ascii="Times New Roman" w:cs="Times New Roman" w:eastAsia="Times New Roman" w:hAnsi="Times New Roman"/>
        <w:sz w:val="17"/>
        <w:szCs w:val="17"/>
      </w:rPr>
      <w:drawing>
        <wp:inline distB="0" distT="0" distL="0" distR="0">
          <wp:extent cx="698500" cy="88900"/>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98500" cy="889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72"/>
      </w:tabs>
      <w:spacing w:after="80" w:line="216" w:lineRule="auto"/>
      <w:ind w:left="7371" w:firstLine="0"/>
      <w:contextualSpacing w:val="0"/>
      <w:rPr>
        <w:rFonts w:ascii="Times New Roman" w:cs="Times New Roman" w:eastAsia="Times New Roman" w:hAnsi="Times New Roman"/>
        <w:color w:val="686c6d"/>
        <w:sz w:val="17"/>
        <w:szCs w:val="17"/>
      </w:rPr>
    </w:pPr>
    <w:r w:rsidDel="00000000" w:rsidR="00000000" w:rsidRPr="00000000">
      <w:rPr>
        <w:rFonts w:ascii="Times New Roman" w:cs="Times New Roman" w:eastAsia="Times New Roman" w:hAnsi="Times New Roman"/>
        <w:sz w:val="17"/>
        <w:szCs w:val="17"/>
      </w:rPr>
      <w:drawing>
        <wp:inline distB="0" distT="0" distL="0" distR="0">
          <wp:extent cx="698500" cy="88900"/>
          <wp:effectExtent b="0" l="0" r="0" t="0"/>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98500" cy="88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contextualSpacing w:val="0"/>
      <w:rPr>
        <w:rFonts w:ascii="Helvetica Neue" w:cs="Helvetica Neue" w:eastAsia="Helvetica Neue" w:hAnsi="Helvetica Neu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72"/>
      </w:tabs>
      <w:spacing w:after="80" w:line="216" w:lineRule="auto"/>
      <w:contextualSpacing w:val="0"/>
      <w:rPr>
        <w:rFonts w:ascii="Times New Roman" w:cs="Times New Roman" w:eastAsia="Times New Roman" w:hAnsi="Times New Roman"/>
        <w:color w:val="686c6d"/>
        <w:sz w:val="17"/>
        <w:szCs w:val="1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4143375</wp:posOffset>
          </wp:positionH>
          <wp:positionV relativeFrom="paragraph">
            <wp:posOffset>-360043</wp:posOffset>
          </wp:positionV>
          <wp:extent cx="2450520" cy="120636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450520" cy="1206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venir" w:cs="Avenir" w:eastAsia="Avenir" w:hAnsi="Avenir"/>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